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600" w:firstLineChars="200"/>
        <w:rPr>
          <w:rFonts w:hint="eastAsia"/>
          <w:sz w:val="30"/>
        </w:rPr>
      </w:pPr>
    </w:p>
    <w:p>
      <w:pPr>
        <w:spacing w:line="550" w:lineRule="exact"/>
        <w:rPr>
          <w:rFonts w:hint="default" w:ascii="Times New Roman" w:hAnsi="Times New Roman" w:cs="Times New Roman"/>
          <w:spacing w:val="10"/>
        </w:rPr>
      </w:pPr>
    </w:p>
    <w:p>
      <w:pPr>
        <w:spacing w:line="550" w:lineRule="exact"/>
        <w:rPr>
          <w:rFonts w:hint="default" w:ascii="Times New Roman" w:hAnsi="Times New Roman" w:cs="Times New Roman"/>
          <w:spacing w:val="10"/>
        </w:rPr>
      </w:pPr>
    </w:p>
    <w:p>
      <w:pPr>
        <w:rPr>
          <w:rFonts w:hint="default" w:ascii="Times New Roman" w:hAnsi="Times New Roman" w:eastAsia="方正小标宋简体" w:cs="Times New Roman"/>
          <w:color w:val="FF0000"/>
          <w:spacing w:val="20"/>
          <w:sz w:val="72"/>
        </w:rPr>
      </w:pPr>
      <w:r>
        <w:rPr>
          <w:rFonts w:hint="default" w:ascii="Times New Roman" w:hAnsi="Times New Roman" w:eastAsia="方正小标宋简体" w:cs="Times New Roman"/>
          <w:color w:val="FF0000"/>
          <w:spacing w:val="20"/>
          <w:sz w:val="72"/>
          <w:szCs w:val="72"/>
        </w:rPr>
        <mc:AlternateContent>
          <mc:Choice Requires="wps">
            <w:drawing>
              <wp:anchor distT="0" distB="0" distL="114300" distR="114300" simplePos="0" relativeHeight="251707392" behindDoc="0" locked="0" layoutInCell="1" allowOverlap="1">
                <wp:simplePos x="0" y="0"/>
                <wp:positionH relativeFrom="column">
                  <wp:posOffset>4333240</wp:posOffset>
                </wp:positionH>
                <wp:positionV relativeFrom="paragraph">
                  <wp:posOffset>208915</wp:posOffset>
                </wp:positionV>
                <wp:extent cx="1475740" cy="1111250"/>
                <wp:effectExtent l="4445" t="4445" r="5715" b="8255"/>
                <wp:wrapNone/>
                <wp:docPr id="1" name="文本框 26"/>
                <wp:cNvGraphicFramePr/>
                <a:graphic xmlns:a="http://schemas.openxmlformats.org/drawingml/2006/main">
                  <a:graphicData uri="http://schemas.microsoft.com/office/word/2010/wordprocessingShape">
                    <wps:wsp>
                      <wps:cNvSpPr txBox="1"/>
                      <wps:spPr>
                        <a:xfrm>
                          <a:off x="0" y="0"/>
                          <a:ext cx="1475740" cy="111125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方正小标宋简体" w:eastAsia="方正小标宋简体"/>
                                <w:color w:val="FF0000"/>
                                <w:sz w:val="96"/>
                                <w:szCs w:val="96"/>
                              </w:rPr>
                            </w:pPr>
                            <w:r>
                              <w:rPr>
                                <w:rFonts w:hint="eastAsia" w:ascii="方正小标宋简体" w:eastAsia="方正小标宋简体"/>
                                <w:color w:val="FF0000"/>
                                <w:sz w:val="96"/>
                                <w:szCs w:val="96"/>
                              </w:rPr>
                              <w:t>文件</w:t>
                            </w:r>
                          </w:p>
                        </w:txbxContent>
                      </wps:txbx>
                      <wps:bodyPr upright="1"/>
                    </wps:wsp>
                  </a:graphicData>
                </a:graphic>
              </wp:anchor>
            </w:drawing>
          </mc:Choice>
          <mc:Fallback>
            <w:pict>
              <v:shape id="文本框 26" o:spid="_x0000_s1026" o:spt="202" type="#_x0000_t202" style="position:absolute;left:0pt;margin-left:341.2pt;margin-top:16.45pt;height:87.5pt;width:116.2pt;z-index:251707392;mso-width-relative:page;mso-height-relative:page;" fillcolor="#FFFFFF" filled="t" stroked="t" coordsize="21600,21600" o:gfxdata="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RoKMdkAAAAKAQAADwAAAAAAAAABACAAAAAiAAAAZHJzL2Rvd25yZXYueG1sUEsB&#10;AhQAFAAAAAgAh07iQGaSNpr0AQAA+AMAAA4AAAAAAAAAAQAgAAAAKAEAAGRycy9lMm9Eb2MueG1s&#10;UEsFBgAAAAAGAAYAWQEAAI4FAAAAAA==&#10;">
                <v:fill on="t" focussize="0,0"/>
                <v:stroke color="#FFFFFF" joinstyle="miter"/>
                <v:imagedata o:title=""/>
                <o:lock v:ext="edit" aspectratio="f"/>
                <v:textbox>
                  <w:txbxContent>
                    <w:p>
                      <w:pPr>
                        <w:rPr>
                          <w:rFonts w:hint="eastAsia" w:ascii="方正小标宋简体" w:eastAsia="方正小标宋简体"/>
                          <w:color w:val="FF0000"/>
                          <w:sz w:val="96"/>
                          <w:szCs w:val="96"/>
                        </w:rPr>
                      </w:pPr>
                      <w:r>
                        <w:rPr>
                          <w:rFonts w:hint="eastAsia" w:ascii="方正小标宋简体" w:eastAsia="方正小标宋简体"/>
                          <w:color w:val="FF0000"/>
                          <w:sz w:val="96"/>
                          <w:szCs w:val="96"/>
                        </w:rPr>
                        <w:t>文件</w:t>
                      </w:r>
                    </w:p>
                  </w:txbxContent>
                </v:textbox>
              </v:shape>
            </w:pict>
          </mc:Fallback>
        </mc:AlternateContent>
      </w:r>
      <w:r>
        <w:rPr>
          <w:rFonts w:hint="default" w:ascii="Times New Roman" w:hAnsi="Times New Roman" w:eastAsia="方正小标宋简体" w:cs="Times New Roman"/>
          <w:color w:val="FF0000"/>
          <w:spacing w:val="20"/>
          <w:sz w:val="72"/>
          <w:szCs w:val="72"/>
        </w:rPr>
        <w:t>玉溪市江川区财政局</w:t>
      </w:r>
    </w:p>
    <w:p>
      <w:pPr>
        <w:tabs>
          <w:tab w:val="left" w:pos="284"/>
          <w:tab w:val="left" w:pos="567"/>
          <w:tab w:val="left" w:pos="1134"/>
        </w:tabs>
        <w:spacing w:line="820" w:lineRule="atLeast"/>
        <w:rPr>
          <w:rFonts w:hint="default" w:ascii="Times New Roman" w:hAnsi="Times New Roman" w:eastAsia="方正仿宋_GBK" w:cs="Times New Roman"/>
          <w:szCs w:val="32"/>
        </w:rPr>
      </w:pPr>
      <w:r>
        <w:rPr>
          <w:rFonts w:hint="default" w:ascii="Times New Roman" w:hAnsi="Times New Roman" w:eastAsia="方正小标宋简体" w:cs="Times New Roman"/>
          <w:color w:val="FF0000"/>
          <w:spacing w:val="-58"/>
          <w:sz w:val="72"/>
          <w:szCs w:val="72"/>
        </w:rPr>
        <w:t>玉溪市江川区教育</w:t>
      </w:r>
      <w:r>
        <w:rPr>
          <w:rFonts w:hint="default" w:ascii="Times New Roman" w:hAnsi="Times New Roman" w:eastAsia="方正小标宋简体" w:cs="Times New Roman"/>
          <w:color w:val="FF0000"/>
          <w:spacing w:val="-58"/>
          <w:sz w:val="72"/>
          <w:szCs w:val="72"/>
          <w:lang w:eastAsia="zh-CN"/>
        </w:rPr>
        <w:t>体育局</w:t>
      </w:r>
    </w:p>
    <w:p>
      <w:pPr>
        <w:spacing w:line="550" w:lineRule="exact"/>
        <w:jc w:val="center"/>
        <w:rPr>
          <w:rFonts w:hint="default" w:ascii="Times New Roman" w:hAnsi="Times New Roman" w:eastAsia="方正仿宋_GBK" w:cs="Times New Roman"/>
          <w:szCs w:val="32"/>
        </w:rPr>
      </w:pPr>
    </w:p>
    <w:p>
      <w:pPr>
        <w:spacing w:line="55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玉江财教〔20</w:t>
      </w:r>
      <w:r>
        <w:rPr>
          <w:rFonts w:hint="eastAsia" w:ascii="方正仿宋_GBK" w:hAnsi="方正仿宋_GBK" w:eastAsia="方正仿宋_GBK" w:cs="方正仿宋_GBK"/>
          <w:sz w:val="32"/>
          <w:szCs w:val="32"/>
          <w:lang w:val="en-US" w:eastAsia="zh-CN"/>
        </w:rPr>
        <w:t>20</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号</w:t>
      </w:r>
    </w:p>
    <w:p>
      <w:pPr>
        <w:spacing w:line="580" w:lineRule="exact"/>
        <w:rPr>
          <w:rFonts w:hint="eastAsia" w:ascii="方正仿宋_GBK" w:hAnsi="方正仿宋_GBK" w:eastAsia="方正仿宋_GBK" w:cs="方正仿宋_GBK"/>
          <w:spacing w:val="10"/>
          <w:sz w:val="32"/>
          <w:szCs w:val="32"/>
        </w:rPr>
      </w:pPr>
      <w:r>
        <w:rPr>
          <w:rFonts w:hint="eastAsia" w:ascii="方正仿宋_GBK" w:hAnsi="方正仿宋_GBK" w:eastAsia="方正仿宋_GBK" w:cs="方正仿宋_GBK"/>
          <w:sz w:val="32"/>
          <w:szCs w:val="32"/>
        </w:rPr>
        <mc:AlternateContent>
          <mc:Choice Requires="wps">
            <w:drawing>
              <wp:anchor distT="0" distB="0" distL="114300" distR="114300" simplePos="0" relativeHeight="251706368" behindDoc="0" locked="0" layoutInCell="1" allowOverlap="1">
                <wp:simplePos x="0" y="0"/>
                <wp:positionH relativeFrom="column">
                  <wp:posOffset>0</wp:posOffset>
                </wp:positionH>
                <wp:positionV relativeFrom="paragraph">
                  <wp:posOffset>11430</wp:posOffset>
                </wp:positionV>
                <wp:extent cx="5689600" cy="0"/>
                <wp:effectExtent l="0" t="19050" r="6350" b="19050"/>
                <wp:wrapNone/>
                <wp:docPr id="6" name="直线 24"/>
                <wp:cNvGraphicFramePr/>
                <a:graphic xmlns:a="http://schemas.openxmlformats.org/drawingml/2006/main">
                  <a:graphicData uri="http://schemas.microsoft.com/office/word/2010/wordprocessingShape">
                    <wps:wsp>
                      <wps:cNvCnPr/>
                      <wps:spPr>
                        <a:xfrm>
                          <a:off x="0" y="0"/>
                          <a:ext cx="5689600" cy="0"/>
                        </a:xfrm>
                        <a:prstGeom prst="line">
                          <a:avLst/>
                        </a:prstGeom>
                        <a:ln w="38100" cap="flat" cmpd="sng">
                          <a:solidFill>
                            <a:srgbClr val="FF0000"/>
                          </a:solidFill>
                          <a:prstDash val="solid"/>
                          <a:headEnd type="none" w="med" len="med"/>
                          <a:tailEnd type="none" w="med" len="med"/>
                        </a:ln>
                        <a:effectLst/>
                      </wps:spPr>
                      <wps:bodyPr upright="1"/>
                    </wps:wsp>
                  </a:graphicData>
                </a:graphic>
              </wp:anchor>
            </w:drawing>
          </mc:Choice>
          <mc:Fallback>
            <w:pict>
              <v:line id="直线 24" o:spid="_x0000_s1026" o:spt="20" style="position:absolute;left:0pt;margin-left:0pt;margin-top:0.9pt;height:0pt;width:448pt;z-index:251706368;mso-width-relative:page;mso-height-relative:page;" filled="f" stroked="t" coordsize="21600,21600" o:gfxdata="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DYob7UAAAABAEAAA8AAAAAAAAAAQAgAAAA&#10;IgAAAGRycy9kb3ducmV2LnhtbFBLAQIUABQAAAAIAIdO4kCDFfS61gEAAJ0DAAAOAAAAAAAAAAEA&#10;IAAAACMBAABkcnMvZTJvRG9jLnhtbFBLBQYAAAAABgAGAFkBAABrBQAAAAA=&#10;">
                <v:fill on="f" focussize="0,0"/>
                <v:stroke weight="3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3" w:firstLineChars="200"/>
        <w:jc w:val="center"/>
        <w:textAlignment w:val="auto"/>
        <w:rPr>
          <w:rFonts w:hint="default" w:ascii="Times New Roman" w:hAnsi="Times New Roman" w:eastAsia="方正小标宋_GBK" w:cs="Times New Roman"/>
          <w:b/>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玉溪市</w:t>
      </w:r>
      <w:r>
        <w:rPr>
          <w:rFonts w:hint="eastAsia" w:ascii="Times New Roman" w:hAnsi="Times New Roman" w:eastAsia="方正小标宋_GBK" w:cs="Times New Roman"/>
          <w:bCs/>
          <w:sz w:val="44"/>
          <w:szCs w:val="44"/>
          <w:lang w:eastAsia="zh-CN"/>
        </w:rPr>
        <w:t>江川区</w:t>
      </w:r>
      <w:r>
        <w:rPr>
          <w:rFonts w:hint="default" w:ascii="Times New Roman" w:hAnsi="Times New Roman" w:eastAsia="方正小标宋_GBK" w:cs="Times New Roman"/>
          <w:bCs/>
          <w:sz w:val="44"/>
          <w:szCs w:val="44"/>
        </w:rPr>
        <w:t>财政局 玉溪市</w:t>
      </w:r>
      <w:r>
        <w:rPr>
          <w:rFonts w:hint="eastAsia" w:ascii="Times New Roman" w:hAnsi="Times New Roman" w:eastAsia="方正小标宋_GBK" w:cs="Times New Roman"/>
          <w:bCs/>
          <w:sz w:val="44"/>
          <w:szCs w:val="44"/>
          <w:lang w:eastAsia="zh-CN"/>
        </w:rPr>
        <w:t>江川区</w:t>
      </w:r>
      <w:r>
        <w:rPr>
          <w:rFonts w:hint="default" w:ascii="Times New Roman" w:hAnsi="Times New Roman" w:eastAsia="方正小标宋_GBK" w:cs="Times New Roman"/>
          <w:bCs/>
          <w:sz w:val="44"/>
          <w:szCs w:val="44"/>
        </w:rPr>
        <w:t>教育</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rPr>
          <w:rFonts w:hint="default" w:ascii="Times New Roman" w:hAnsi="Times New Roman" w:eastAsia="方正小标宋_GBK" w:cs="Times New Roman"/>
          <w:bCs/>
          <w:sz w:val="44"/>
          <w:szCs w:val="44"/>
          <w:lang w:eastAsia="zh-CN"/>
        </w:rPr>
      </w:pPr>
      <w:r>
        <w:rPr>
          <w:rFonts w:hint="eastAsia" w:ascii="Times New Roman" w:hAnsi="Times New Roman" w:eastAsia="方正小标宋_GBK" w:cs="Times New Roman"/>
          <w:bCs/>
          <w:sz w:val="44"/>
          <w:szCs w:val="44"/>
          <w:lang w:eastAsia="zh-CN"/>
        </w:rPr>
        <w:t>体育</w:t>
      </w:r>
      <w:r>
        <w:rPr>
          <w:rFonts w:hint="default" w:ascii="Times New Roman" w:hAnsi="Times New Roman" w:eastAsia="方正小标宋_GBK" w:cs="Times New Roman"/>
          <w:bCs/>
          <w:sz w:val="44"/>
          <w:szCs w:val="44"/>
        </w:rPr>
        <w:t>局关于下达</w:t>
      </w:r>
      <w:r>
        <w:rPr>
          <w:rFonts w:hint="default" w:ascii="Times New Roman" w:hAnsi="Times New Roman" w:eastAsia="方正小标宋_GBK" w:cs="Times New Roman"/>
          <w:bCs/>
          <w:sz w:val="44"/>
          <w:szCs w:val="44"/>
          <w:lang w:val="en-US" w:eastAsia="zh-CN"/>
        </w:rPr>
        <w:t>2019年</w:t>
      </w:r>
      <w:r>
        <w:rPr>
          <w:rFonts w:hint="default" w:ascii="Times New Roman" w:hAnsi="Times New Roman" w:eastAsia="方正小标宋_GBK" w:cs="Times New Roman"/>
          <w:bCs/>
          <w:sz w:val="44"/>
          <w:szCs w:val="44"/>
          <w:lang w:eastAsia="zh-CN"/>
        </w:rPr>
        <w:t>义务教育薄弱</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lang w:eastAsia="zh-CN"/>
        </w:rPr>
        <w:t>环节改善与能力提升省级补助资金</w:t>
      </w:r>
      <w:r>
        <w:rPr>
          <w:rFonts w:hint="default" w:ascii="Times New Roman" w:hAnsi="Times New Roman" w:eastAsia="方正小标宋_GBK" w:cs="Times New Roman"/>
          <w:bCs/>
          <w:sz w:val="44"/>
          <w:szCs w:val="44"/>
        </w:rPr>
        <w:t>的</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rPr>
          <w:rFonts w:hint="default" w:ascii="Times New Roman" w:hAnsi="Times New Roman" w:eastAsia="方正小标宋_GBK" w:cs="Times New Roman"/>
          <w:sz w:val="32"/>
          <w:szCs w:val="32"/>
        </w:rPr>
      </w:pPr>
      <w:r>
        <w:rPr>
          <w:rFonts w:hint="default" w:ascii="Times New Roman" w:hAnsi="Times New Roman" w:eastAsia="方正小标宋_GBK" w:cs="Times New Roman"/>
          <w:bCs/>
          <w:sz w:val="44"/>
          <w:szCs w:val="44"/>
        </w:rPr>
        <w:t>通</w:t>
      </w:r>
      <w:r>
        <w:rPr>
          <w:rFonts w:hint="eastAsia" w:ascii="Times New Roman" w:hAnsi="Times New Roman" w:eastAsia="方正小标宋_GBK" w:cs="Times New Roman"/>
          <w:bCs/>
          <w:sz w:val="44"/>
          <w:szCs w:val="44"/>
          <w:lang w:val="en-US" w:eastAsia="zh-CN"/>
        </w:rPr>
        <w:t xml:space="preserve"> </w:t>
      </w:r>
      <w:r>
        <w:rPr>
          <w:rFonts w:hint="default" w:ascii="Times New Roman" w:hAnsi="Times New Roman" w:eastAsia="方正小标宋_GBK" w:cs="Times New Roman"/>
          <w:bCs/>
          <w:sz w:val="44"/>
          <w:szCs w:val="44"/>
        </w:rPr>
        <w:t>知</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left"/>
        <w:textAlignment w:val="auto"/>
        <w:rPr>
          <w:rFonts w:hint="default" w:ascii="Times New Roman" w:hAnsi="Times New Roman" w:eastAsia="仿宋_GB2312" w:cs="Times New Roman"/>
          <w:sz w:val="32"/>
          <w:szCs w:val="32"/>
          <w:u w:val="single"/>
        </w:rPr>
      </w:pPr>
    </w:p>
    <w:p>
      <w:pPr>
        <w:keepNext w:val="0"/>
        <w:keepLines w:val="0"/>
        <w:pageBreakBefore w:val="0"/>
        <w:widowControl w:val="0"/>
        <w:kinsoku/>
        <w:wordWrap/>
        <w:overflowPunct/>
        <w:topLinePunct/>
        <w:autoSpaceDE w:val="0"/>
        <w:autoSpaceDN/>
        <w:bidi w:val="0"/>
        <w:adjustRightInd/>
        <w:snapToGrid/>
        <w:spacing w:line="590" w:lineRule="exact"/>
        <w:ind w:right="0" w:rightChars="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相关中小学</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autoSpaceDE w:val="0"/>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rPr>
        <w:t>根据《</w:t>
      </w:r>
      <w:r>
        <w:rPr>
          <w:rFonts w:hint="default" w:ascii="Times New Roman" w:hAnsi="Times New Roman" w:eastAsia="方正仿宋_GBK" w:cs="Times New Roman"/>
          <w:sz w:val="32"/>
          <w:szCs w:val="32"/>
          <w:lang w:eastAsia="zh-CN"/>
        </w:rPr>
        <w:t>玉溪市财政局 玉溪市教育体育局</w:t>
      </w:r>
      <w:r>
        <w:rPr>
          <w:rFonts w:hint="default" w:ascii="Times New Roman" w:hAnsi="Times New Roman" w:eastAsia="方正仿宋_GBK" w:cs="Times New Roman"/>
          <w:sz w:val="32"/>
          <w:szCs w:val="32"/>
          <w:lang w:val="en-US" w:eastAsia="zh-CN"/>
        </w:rPr>
        <w:t>关于下达2019年义务教育薄弱环节改善与能力提升</w:t>
      </w:r>
      <w:r>
        <w:rPr>
          <w:rFonts w:hint="eastAsia" w:ascii="Times New Roman" w:hAnsi="Times New Roman" w:eastAsia="方正仿宋_GBK" w:cs="Times New Roman"/>
          <w:sz w:val="32"/>
          <w:szCs w:val="32"/>
          <w:lang w:val="en-US" w:eastAsia="zh-CN"/>
        </w:rPr>
        <w:t>省级</w:t>
      </w:r>
      <w:r>
        <w:rPr>
          <w:rFonts w:hint="default" w:ascii="Times New Roman" w:hAnsi="Times New Roman" w:eastAsia="方正仿宋_GBK" w:cs="Times New Roman"/>
          <w:sz w:val="32"/>
          <w:szCs w:val="32"/>
          <w:lang w:val="en-US" w:eastAsia="zh-CN"/>
        </w:rPr>
        <w:t>补助资金的通知</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玉</w:t>
      </w:r>
      <w:r>
        <w:rPr>
          <w:rFonts w:hint="default" w:ascii="Times New Roman" w:hAnsi="Times New Roman" w:eastAsia="方正仿宋_GBK" w:cs="Times New Roman"/>
          <w:sz w:val="32"/>
          <w:szCs w:val="32"/>
        </w:rPr>
        <w:t>财教〔</w:t>
      </w:r>
      <w:r>
        <w:rPr>
          <w:rFonts w:hint="default" w:ascii="Times New Roman" w:hAnsi="Times New Roman" w:eastAsia="方正仿宋_GBK" w:cs="Times New Roman"/>
          <w:sz w:val="32"/>
          <w:szCs w:val="32"/>
          <w:lang w:val="en-US" w:eastAsia="zh-CN"/>
        </w:rPr>
        <w:t>2019</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360</w:t>
      </w:r>
      <w:r>
        <w:rPr>
          <w:rFonts w:hint="default" w:ascii="Times New Roman" w:hAnsi="Times New Roman" w:eastAsia="方正仿宋_GBK" w:cs="Times New Roman"/>
          <w:sz w:val="32"/>
          <w:szCs w:val="32"/>
        </w:rPr>
        <w:t>号)</w:t>
      </w:r>
      <w:r>
        <w:rPr>
          <w:rFonts w:hint="eastAsia" w:ascii="Times New Roman" w:hAnsi="Times New Roman" w:eastAsia="方正仿宋_GBK" w:cs="Times New Roman"/>
          <w:sz w:val="32"/>
          <w:szCs w:val="32"/>
          <w:lang w:eastAsia="zh-CN"/>
        </w:rPr>
        <w:t>文件</w:t>
      </w:r>
      <w:r>
        <w:rPr>
          <w:rFonts w:hint="default" w:ascii="Times New Roman" w:hAnsi="Times New Roman" w:eastAsia="方正仿宋_GBK" w:cs="Times New Roman"/>
          <w:sz w:val="32"/>
          <w:szCs w:val="32"/>
          <w:lang w:val="en-US" w:eastAsia="zh-CN"/>
        </w:rPr>
        <w:t>精神，</w:t>
      </w:r>
      <w:r>
        <w:rPr>
          <w:rFonts w:hint="default" w:ascii="Times New Roman" w:hAnsi="Times New Roman" w:eastAsia="方正仿宋_GBK" w:cs="Times New Roman"/>
          <w:sz w:val="32"/>
          <w:szCs w:val="32"/>
        </w:rPr>
        <w:t>经</w:t>
      </w:r>
      <w:r>
        <w:rPr>
          <w:rFonts w:hint="eastAsia" w:ascii="Times New Roman" w:hAnsi="Times New Roman" w:eastAsia="方正仿宋_GBK" w:cs="Times New Roman"/>
          <w:sz w:val="32"/>
          <w:szCs w:val="32"/>
          <w:lang w:eastAsia="zh-CN"/>
        </w:rPr>
        <w:t>研究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现下达</w:t>
      </w:r>
      <w:r>
        <w:rPr>
          <w:rFonts w:hint="default" w:ascii="Times New Roman" w:hAnsi="Times New Roman" w:eastAsia="方正仿宋_GBK" w:cs="Times New Roman"/>
          <w:sz w:val="32"/>
          <w:szCs w:val="32"/>
          <w:lang w:eastAsia="zh-CN"/>
        </w:rPr>
        <w:t>你</w:t>
      </w:r>
      <w:r>
        <w:rPr>
          <w:rFonts w:hint="eastAsia" w:ascii="Times New Roman" w:hAnsi="Times New Roman" w:eastAsia="方正仿宋_GBK" w:cs="Times New Roman"/>
          <w:sz w:val="32"/>
          <w:szCs w:val="32"/>
          <w:highlight w:val="none"/>
          <w:lang w:eastAsia="zh-CN"/>
        </w:rPr>
        <w:t>校</w:t>
      </w:r>
      <w:r>
        <w:rPr>
          <w:rFonts w:hint="default" w:ascii="Times New Roman" w:hAnsi="Times New Roman" w:eastAsia="方正仿宋_GBK" w:cs="Times New Roman"/>
          <w:sz w:val="32"/>
          <w:szCs w:val="32"/>
          <w:highlight w:val="none"/>
          <w:lang w:val="en-US" w:eastAsia="zh-CN"/>
        </w:rPr>
        <w:t>2019年</w:t>
      </w:r>
      <w:r>
        <w:rPr>
          <w:rFonts w:hint="default" w:ascii="Times New Roman" w:hAnsi="Times New Roman" w:eastAsia="方正仿宋_GBK" w:cs="Times New Roman"/>
          <w:sz w:val="32"/>
          <w:szCs w:val="32"/>
          <w:highlight w:val="none"/>
        </w:rPr>
        <w:t>义务教育弱薄弱环节改善与能力提升</w:t>
      </w:r>
      <w:r>
        <w:rPr>
          <w:rFonts w:hint="default" w:ascii="Times New Roman" w:hAnsi="Times New Roman" w:eastAsia="方正仿宋_GBK" w:cs="Times New Roman"/>
          <w:sz w:val="32"/>
          <w:szCs w:val="32"/>
          <w:highlight w:val="none"/>
          <w:lang w:eastAsia="zh-CN"/>
        </w:rPr>
        <w:t>省级</w:t>
      </w:r>
      <w:r>
        <w:rPr>
          <w:rFonts w:hint="default" w:ascii="Times New Roman" w:hAnsi="Times New Roman" w:eastAsia="方正仿宋_GBK" w:cs="Times New Roman"/>
          <w:sz w:val="32"/>
          <w:szCs w:val="32"/>
          <w:highlight w:val="none"/>
        </w:rPr>
        <w:t>补助资金</w:t>
      </w:r>
      <w:r>
        <w:rPr>
          <w:rFonts w:hint="eastAsia" w:ascii="Times New Roman" w:hAnsi="Times New Roman" w:eastAsia="方正仿宋_GBK" w:cs="Times New Roman"/>
          <w:sz w:val="32"/>
          <w:szCs w:val="32"/>
          <w:highlight w:val="none"/>
          <w:lang w:val="en-US" w:eastAsia="zh-CN"/>
        </w:rPr>
        <w:t>391.54</w:t>
      </w:r>
      <w:r>
        <w:rPr>
          <w:rFonts w:hint="default" w:ascii="Times New Roman" w:hAnsi="Times New Roman" w:eastAsia="方正仿宋_GBK" w:cs="Times New Roman"/>
          <w:sz w:val="32"/>
          <w:szCs w:val="32"/>
          <w:highlight w:val="none"/>
        </w:rPr>
        <w:t>万元</w:t>
      </w:r>
      <w:r>
        <w:rPr>
          <w:rFonts w:hint="default" w:ascii="Times New Roman" w:hAnsi="Times New Roman" w:eastAsia="方正仿宋_GBK" w:cs="Times New Roman"/>
          <w:sz w:val="32"/>
          <w:szCs w:val="32"/>
          <w:lang w:eastAsia="zh-CN"/>
        </w:rPr>
        <w:t>（具体</w:t>
      </w:r>
      <w:r>
        <w:rPr>
          <w:rFonts w:hint="eastAsia" w:ascii="Times New Roman" w:hAnsi="Times New Roman" w:eastAsia="方正仿宋_GBK" w:cs="Times New Roman"/>
          <w:sz w:val="32"/>
          <w:szCs w:val="32"/>
          <w:lang w:eastAsia="zh-CN"/>
        </w:rPr>
        <w:t>补助学校及</w:t>
      </w:r>
      <w:bookmarkStart w:id="0" w:name="_GoBack"/>
      <w:bookmarkEnd w:id="0"/>
      <w:r>
        <w:rPr>
          <w:rFonts w:hint="default" w:ascii="Times New Roman" w:hAnsi="Times New Roman" w:eastAsia="方正仿宋_GBK" w:cs="Times New Roman"/>
          <w:sz w:val="32"/>
          <w:szCs w:val="32"/>
          <w:lang w:eastAsia="zh-CN"/>
        </w:rPr>
        <w:t>金额详见附件</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highlight w:val="none"/>
        </w:rPr>
        <w:t>。此</w:t>
      </w:r>
      <w:r>
        <w:rPr>
          <w:rFonts w:hint="default" w:ascii="Times New Roman" w:hAnsi="Times New Roman" w:eastAsia="方正仿宋_GBK" w:cs="Times New Roman"/>
          <w:color w:val="auto"/>
          <w:sz w:val="32"/>
          <w:szCs w:val="32"/>
          <w:highlight w:val="none"/>
        </w:rPr>
        <w:t>款</w:t>
      </w:r>
      <w:r>
        <w:rPr>
          <w:rFonts w:hint="eastAsia" w:ascii="Times New Roman" w:hAnsi="Times New Roman" w:eastAsia="方正仿宋_GBK" w:cs="Times New Roman"/>
          <w:color w:val="auto"/>
          <w:sz w:val="32"/>
          <w:szCs w:val="32"/>
          <w:highlight w:val="none"/>
          <w:lang w:eastAsia="zh-CN"/>
        </w:rPr>
        <w:t>分别列入</w:t>
      </w:r>
      <w:r>
        <w:rPr>
          <w:rFonts w:hint="default" w:ascii="Times New Roman" w:hAnsi="Times New Roman" w:eastAsia="方正仿宋_GBK" w:cs="Times New Roman"/>
          <w:color w:val="auto"/>
          <w:sz w:val="32"/>
          <w:szCs w:val="32"/>
          <w:highlight w:val="none"/>
        </w:rPr>
        <w:t>20</w:t>
      </w:r>
      <w:r>
        <w:rPr>
          <w:rFonts w:hint="eastAsia" w:ascii="Times New Roman" w:hAnsi="Times New Roman" w:eastAsia="方正仿宋_GBK" w:cs="Times New Roman"/>
          <w:color w:val="auto"/>
          <w:sz w:val="32"/>
          <w:szCs w:val="32"/>
          <w:highlight w:val="none"/>
          <w:lang w:val="en-US" w:eastAsia="zh-CN"/>
        </w:rPr>
        <w:t>20</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sz w:val="32"/>
          <w:szCs w:val="32"/>
          <w:highlight w:val="none"/>
        </w:rPr>
        <w:t>“205</w:t>
      </w:r>
      <w:r>
        <w:rPr>
          <w:rFonts w:hint="eastAsia" w:ascii="Times New Roman" w:hAnsi="Times New Roman" w:eastAsia="方正仿宋_GBK" w:cs="Times New Roman"/>
          <w:sz w:val="32"/>
          <w:szCs w:val="32"/>
          <w:highlight w:val="none"/>
          <w:lang w:val="en-US" w:eastAsia="zh-CN"/>
        </w:rPr>
        <w:t>0202.</w:t>
      </w:r>
      <w:r>
        <w:rPr>
          <w:rFonts w:hint="eastAsia" w:ascii="Times New Roman" w:hAnsi="Times New Roman" w:eastAsia="方正仿宋_GBK" w:cs="Times New Roman"/>
          <w:sz w:val="32"/>
          <w:szCs w:val="32"/>
          <w:highlight w:val="none"/>
          <w:lang w:eastAsia="zh-CN"/>
        </w:rPr>
        <w:t>小学</w:t>
      </w:r>
      <w:r>
        <w:rPr>
          <w:rFonts w:hint="default" w:ascii="Times New Roman" w:hAnsi="Times New Roman" w:eastAsia="方正仿宋_GBK" w:cs="Times New Roman"/>
          <w:sz w:val="32"/>
          <w:szCs w:val="32"/>
          <w:highlight w:val="none"/>
        </w:rPr>
        <w:t>教育”</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“205</w:t>
      </w:r>
      <w:r>
        <w:rPr>
          <w:rFonts w:hint="eastAsia" w:ascii="Times New Roman" w:hAnsi="Times New Roman" w:eastAsia="方正仿宋_GBK" w:cs="Times New Roman"/>
          <w:sz w:val="32"/>
          <w:szCs w:val="32"/>
          <w:highlight w:val="none"/>
          <w:lang w:val="en-US" w:eastAsia="zh-CN"/>
        </w:rPr>
        <w:t>0203.</w:t>
      </w:r>
      <w:r>
        <w:rPr>
          <w:rFonts w:hint="eastAsia" w:ascii="Times New Roman" w:hAnsi="Times New Roman" w:eastAsia="方正仿宋_GBK" w:cs="Times New Roman"/>
          <w:sz w:val="32"/>
          <w:szCs w:val="32"/>
          <w:highlight w:val="none"/>
          <w:lang w:eastAsia="zh-CN"/>
        </w:rPr>
        <w:t>初中</w:t>
      </w:r>
      <w:r>
        <w:rPr>
          <w:rFonts w:hint="default" w:ascii="Times New Roman" w:hAnsi="Times New Roman" w:eastAsia="方正仿宋_GBK" w:cs="Times New Roman"/>
          <w:sz w:val="32"/>
          <w:szCs w:val="32"/>
          <w:highlight w:val="none"/>
        </w:rPr>
        <w:t>教育”</w:t>
      </w:r>
      <w:r>
        <w:rPr>
          <w:rFonts w:hint="eastAsia" w:ascii="Times New Roman" w:hAnsi="Times New Roman" w:eastAsia="方正仿宋_GBK" w:cs="Times New Roman"/>
          <w:sz w:val="32"/>
          <w:szCs w:val="32"/>
          <w:highlight w:val="none"/>
          <w:lang w:eastAsia="zh-CN"/>
        </w:rPr>
        <w:t>预算支出</w:t>
      </w:r>
      <w:r>
        <w:rPr>
          <w:rFonts w:hint="default" w:ascii="Times New Roman" w:hAnsi="Times New Roman" w:eastAsia="方正仿宋_GBK" w:cs="Times New Roman"/>
          <w:sz w:val="32"/>
          <w:szCs w:val="32"/>
          <w:highlight w:val="none"/>
        </w:rPr>
        <w:t>科目</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现将有关事项通知如下:</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highlight w:val="none"/>
        </w:rPr>
        <w:t>一、按照《义务教育薄弱环节改善与能力提升工作项目规划(2019-2020年)》</w:t>
      </w:r>
      <w:r>
        <w:rPr>
          <w:rFonts w:hint="eastAsia" w:ascii="Times New Roman" w:hAnsi="Times New Roman" w:eastAsia="方正仿宋_GBK" w:cs="Times New Roman"/>
          <w:sz w:val="32"/>
          <w:szCs w:val="32"/>
          <w:highlight w:val="none"/>
          <w:lang w:eastAsia="zh-CN"/>
        </w:rPr>
        <w:t>，结合各学校实际，本着“</w:t>
      </w:r>
      <w:r>
        <w:rPr>
          <w:rFonts w:hint="default" w:ascii="Times New Roman" w:hAnsi="Times New Roman" w:eastAsia="方正仿宋_GBK" w:cs="Times New Roman"/>
          <w:sz w:val="32"/>
          <w:szCs w:val="32"/>
          <w:highlight w:val="none"/>
        </w:rPr>
        <w:t>实事求是</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统筹考虑</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分清轻重缓急</w:t>
      </w:r>
      <w:r>
        <w:rPr>
          <w:rFonts w:hint="eastAsia" w:ascii="Times New Roman" w:hAnsi="Times New Roman" w:eastAsia="方正仿宋_GBK" w:cs="Times New Roman"/>
          <w:sz w:val="32"/>
          <w:szCs w:val="32"/>
          <w:highlight w:val="none"/>
          <w:lang w:eastAsia="zh-CN"/>
        </w:rPr>
        <w:t>”的原则，</w:t>
      </w:r>
      <w:r>
        <w:rPr>
          <w:rFonts w:hint="default" w:ascii="Times New Roman" w:hAnsi="Times New Roman" w:eastAsia="方正仿宋_GBK" w:cs="Times New Roman"/>
          <w:sz w:val="32"/>
          <w:szCs w:val="32"/>
          <w:highlight w:val="none"/>
        </w:rPr>
        <w:t>突出近期</w:t>
      </w:r>
      <w:r>
        <w:rPr>
          <w:rFonts w:hint="eastAsia" w:ascii="Times New Roman" w:hAnsi="Times New Roman" w:eastAsia="方正仿宋_GBK" w:cs="Times New Roman"/>
          <w:sz w:val="32"/>
          <w:szCs w:val="32"/>
          <w:highlight w:val="none"/>
          <w:lang w:eastAsia="zh-CN"/>
        </w:rPr>
        <w:t>各学校</w:t>
      </w:r>
      <w:r>
        <w:rPr>
          <w:rFonts w:hint="default" w:ascii="Times New Roman" w:hAnsi="Times New Roman" w:eastAsia="方正仿宋_GBK" w:cs="Times New Roman"/>
          <w:sz w:val="32"/>
          <w:szCs w:val="32"/>
          <w:highlight w:val="none"/>
        </w:rPr>
        <w:t>要解决的重点问题</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将资金</w:t>
      </w:r>
      <w:r>
        <w:rPr>
          <w:rFonts w:hint="eastAsia" w:ascii="Times New Roman" w:hAnsi="Times New Roman" w:eastAsia="方正仿宋_GBK" w:cs="Times New Roman"/>
          <w:sz w:val="32"/>
          <w:szCs w:val="32"/>
          <w:highlight w:val="none"/>
          <w:lang w:eastAsia="zh-CN"/>
        </w:rPr>
        <w:t>分配</w:t>
      </w:r>
      <w:r>
        <w:rPr>
          <w:rFonts w:hint="default" w:ascii="Times New Roman" w:hAnsi="Times New Roman" w:eastAsia="方正仿宋_GBK" w:cs="Times New Roman"/>
          <w:sz w:val="32"/>
          <w:szCs w:val="32"/>
          <w:highlight w:val="none"/>
        </w:rPr>
        <w:t>到具体项目</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确保项目进度和资金使用实效</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autoSpaceDE w:val="0"/>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二、请各</w:t>
      </w:r>
      <w:r>
        <w:rPr>
          <w:rFonts w:hint="eastAsia" w:ascii="Times New Roman" w:hAnsi="Times New Roman" w:eastAsia="方正仿宋_GBK" w:cs="Times New Roman"/>
          <w:sz w:val="32"/>
          <w:szCs w:val="32"/>
          <w:lang w:eastAsia="zh-CN"/>
        </w:rPr>
        <w:t>学校</w:t>
      </w:r>
      <w:r>
        <w:rPr>
          <w:rFonts w:hint="default" w:ascii="Times New Roman" w:hAnsi="Times New Roman" w:eastAsia="方正仿宋_GBK" w:cs="Times New Roman"/>
          <w:sz w:val="32"/>
          <w:szCs w:val="32"/>
        </w:rPr>
        <w:t>按照三部</w:t>
      </w:r>
      <w:r>
        <w:rPr>
          <w:rFonts w:hint="default" w:ascii="Times New Roman" w:hAnsi="Times New Roman" w:eastAsia="方正仿宋_GBK" w:cs="Times New Roman"/>
          <w:sz w:val="32"/>
          <w:szCs w:val="32"/>
          <w:lang w:eastAsia="zh-CN"/>
        </w:rPr>
        <w:t>门</w:t>
      </w:r>
      <w:r>
        <w:rPr>
          <w:rFonts w:hint="default" w:ascii="Times New Roman" w:hAnsi="Times New Roman" w:eastAsia="方正仿宋_GBK" w:cs="Times New Roman"/>
          <w:sz w:val="32"/>
          <w:szCs w:val="32"/>
        </w:rPr>
        <w:t>印发</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《关于编制义务教育薄弱环节改善与能力提升工作项目规划(2019-2020年)的通知》</w:t>
      </w:r>
      <w:r>
        <w:rPr>
          <w:rFonts w:hint="default" w:ascii="Times New Roman" w:hAnsi="Times New Roman" w:eastAsia="方正仿宋_GBK" w:cs="Times New Roman"/>
          <w:sz w:val="32"/>
          <w:szCs w:val="32"/>
          <w:lang w:eastAsia="zh-CN"/>
        </w:rPr>
        <w:t>（教督厅</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2019</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1号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精神</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坚持从最困难的地方做起</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从最薄弱的环节入手</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重点做好消除城镇学校大班额</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加强乡村寄宿制和小规模学校建设</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推进农村学校教育信息化建设</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义务教育学校校园安全防范设施建设</w:t>
      </w:r>
      <w:r>
        <w:rPr>
          <w:rFonts w:hint="default" w:ascii="Times New Roman" w:hAnsi="Times New Roman" w:eastAsia="方正仿宋_GBK" w:cs="Times New Roman"/>
          <w:sz w:val="32"/>
          <w:szCs w:val="32"/>
          <w:lang w:eastAsia="zh-CN"/>
        </w:rPr>
        <w:t>，以及校园“厕所革命”</w:t>
      </w:r>
      <w:r>
        <w:rPr>
          <w:rFonts w:hint="default" w:ascii="Times New Roman" w:hAnsi="Times New Roman" w:eastAsia="方正仿宋_GBK" w:cs="Times New Roman"/>
          <w:sz w:val="32"/>
          <w:szCs w:val="32"/>
        </w:rPr>
        <w:t>等工作</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确保薄弱学校改造任务的完成</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autoSpaceDE w:val="0"/>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三、请各</w:t>
      </w:r>
      <w:r>
        <w:rPr>
          <w:rFonts w:hint="eastAsia" w:ascii="Times New Roman" w:hAnsi="Times New Roman" w:eastAsia="方正仿宋_GBK" w:cs="Times New Roman"/>
          <w:sz w:val="32"/>
          <w:szCs w:val="32"/>
          <w:lang w:eastAsia="zh-CN"/>
        </w:rPr>
        <w:t>学校</w:t>
      </w:r>
      <w:r>
        <w:rPr>
          <w:rFonts w:hint="default" w:ascii="Times New Roman" w:hAnsi="Times New Roman" w:eastAsia="方正仿宋_GBK" w:cs="Times New Roman"/>
          <w:sz w:val="32"/>
          <w:szCs w:val="32"/>
        </w:rPr>
        <w:t>做好义务教育薄弱环节改善与能力提升资金与</w:t>
      </w:r>
      <w:r>
        <w:rPr>
          <w:rFonts w:hint="default" w:ascii="Times New Roman" w:hAnsi="Times New Roman" w:eastAsia="方正仿宋_GBK" w:cs="Times New Roman"/>
          <w:sz w:val="32"/>
          <w:szCs w:val="32"/>
          <w:lang w:eastAsia="zh-CN"/>
        </w:rPr>
        <w:t>农村义务教育校舍安全保障长效机制、</w:t>
      </w:r>
      <w:r>
        <w:rPr>
          <w:rFonts w:hint="default" w:ascii="Times New Roman" w:hAnsi="Times New Roman" w:eastAsia="方正仿宋_GBK" w:cs="Times New Roman"/>
          <w:sz w:val="32"/>
          <w:szCs w:val="32"/>
        </w:rPr>
        <w:t>教育现代化推进工程义务教育学校建设等有关项目和资金的统筹与衔接</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防止资</w:t>
      </w:r>
      <w:r>
        <w:rPr>
          <w:rFonts w:hint="default" w:ascii="Times New Roman" w:hAnsi="Times New Roman" w:eastAsia="方正仿宋_GBK" w:cs="Times New Roman"/>
          <w:sz w:val="32"/>
          <w:szCs w:val="32"/>
          <w:lang w:eastAsia="zh-CN"/>
        </w:rPr>
        <w:t>金</w:t>
      </w:r>
      <w:r>
        <w:rPr>
          <w:rFonts w:hint="default" w:ascii="Times New Roman" w:hAnsi="Times New Roman" w:eastAsia="方正仿宋_GBK" w:cs="Times New Roman"/>
          <w:sz w:val="32"/>
          <w:szCs w:val="32"/>
        </w:rPr>
        <w:t>、项目安排重复交叉或支持缺位</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中央资金、省级资金和市</w:t>
      </w:r>
      <w:r>
        <w:rPr>
          <w:rFonts w:hint="default" w:ascii="Times New Roman" w:hAnsi="Times New Roman" w:eastAsia="方正仿宋_GBK" w:cs="Times New Roman"/>
          <w:sz w:val="32"/>
          <w:szCs w:val="32"/>
          <w:lang w:eastAsia="zh-CN"/>
        </w:rPr>
        <w:t>县</w:t>
      </w:r>
      <w:r>
        <w:rPr>
          <w:rFonts w:hint="default" w:ascii="Times New Roman" w:hAnsi="Times New Roman" w:eastAsia="方正仿宋_GBK" w:cs="Times New Roman"/>
          <w:sz w:val="32"/>
          <w:szCs w:val="32"/>
        </w:rPr>
        <w:t>资金</w:t>
      </w:r>
      <w:r>
        <w:rPr>
          <w:rFonts w:hint="default" w:ascii="Times New Roman" w:hAnsi="Times New Roman" w:eastAsia="方正仿宋_GBK" w:cs="Times New Roman"/>
          <w:sz w:val="32"/>
          <w:szCs w:val="32"/>
          <w:lang w:eastAsia="zh-CN"/>
        </w:rPr>
        <w:t>原则上</w:t>
      </w:r>
      <w:r>
        <w:rPr>
          <w:rFonts w:hint="default" w:ascii="Times New Roman" w:hAnsi="Times New Roman" w:eastAsia="方正仿宋_GBK" w:cs="Times New Roman"/>
          <w:sz w:val="32"/>
          <w:szCs w:val="32"/>
        </w:rPr>
        <w:t>不得交叉安排同一具体项。</w:t>
      </w:r>
    </w:p>
    <w:p>
      <w:pPr>
        <w:keepNext w:val="0"/>
        <w:keepLines w:val="0"/>
        <w:pageBreakBefore w:val="0"/>
        <w:widowControl w:val="0"/>
        <w:kinsoku/>
        <w:wordWrap/>
        <w:overflowPunct/>
        <w:topLinePunct/>
        <w:autoSpaceDE w:val="0"/>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四、请各</w:t>
      </w:r>
      <w:r>
        <w:rPr>
          <w:rFonts w:hint="eastAsia" w:ascii="Times New Roman" w:hAnsi="Times New Roman" w:eastAsia="方正仿宋_GBK" w:cs="Times New Roman"/>
          <w:sz w:val="32"/>
          <w:szCs w:val="32"/>
          <w:lang w:eastAsia="zh-CN"/>
        </w:rPr>
        <w:t>学校</w:t>
      </w:r>
      <w:r>
        <w:rPr>
          <w:rFonts w:hint="default" w:ascii="Times New Roman" w:hAnsi="Times New Roman" w:eastAsia="方正仿宋_GBK" w:cs="Times New Roman"/>
          <w:sz w:val="32"/>
          <w:szCs w:val="32"/>
        </w:rPr>
        <w:t>做好项目前期工作</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加快推进项目实施</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eastAsia="zh-CN"/>
        </w:rPr>
        <w:t>为</w:t>
      </w:r>
      <w:r>
        <w:rPr>
          <w:rFonts w:hint="default" w:ascii="Times New Roman" w:hAnsi="Times New Roman" w:eastAsia="方正仿宋_GBK" w:cs="Times New Roman"/>
          <w:sz w:val="32"/>
          <w:szCs w:val="32"/>
        </w:rPr>
        <w:t>维护规划的严肃性</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不得随意变更和调整项目内容</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autoSpaceDE w:val="0"/>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五、此项资金下达各</w:t>
      </w:r>
      <w:r>
        <w:rPr>
          <w:rFonts w:hint="eastAsia" w:ascii="Times New Roman" w:hAnsi="Times New Roman" w:eastAsia="方正仿宋_GBK" w:cs="Times New Roman"/>
          <w:sz w:val="32"/>
          <w:szCs w:val="32"/>
          <w:lang w:eastAsia="zh-CN"/>
        </w:rPr>
        <w:t>学校</w:t>
      </w:r>
      <w:r>
        <w:rPr>
          <w:rFonts w:hint="default" w:ascii="Times New Roman" w:hAnsi="Times New Roman" w:eastAsia="方正仿宋_GBK" w:cs="Times New Roman"/>
          <w:sz w:val="32"/>
          <w:szCs w:val="32"/>
        </w:rPr>
        <w:t>后</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各</w:t>
      </w:r>
      <w:r>
        <w:rPr>
          <w:rFonts w:hint="eastAsia" w:ascii="Times New Roman" w:hAnsi="Times New Roman" w:eastAsia="方正仿宋_GBK" w:cs="Times New Roman"/>
          <w:sz w:val="32"/>
          <w:szCs w:val="32"/>
          <w:lang w:eastAsia="zh-CN"/>
        </w:rPr>
        <w:t>校</w:t>
      </w:r>
      <w:r>
        <w:rPr>
          <w:rFonts w:hint="default" w:ascii="Times New Roman" w:hAnsi="Times New Roman" w:eastAsia="方正仿宋_GBK" w:cs="Times New Roman"/>
          <w:sz w:val="32"/>
          <w:szCs w:val="32"/>
        </w:rPr>
        <w:t>校舍建设项目要尽快开工建设</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争取在2020年3月底以前开工建设</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务必在2020年12月底以前全部竣工验收并投入使用。义务教育薄弱环节改善与能力提升专项资金使用中</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生活设施、图书、课桌凳、安防设备等购置由各地自行采购</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教育信息化设备购置由省级集中统一采购</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采购流程参照全面改薄设备购置项目实施</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工程进度从2020年1月起纳入教育专项工程信息管理系统</w:t>
      </w:r>
      <w:r>
        <w:rPr>
          <w:rFonts w:hint="default" w:ascii="Times New Roman" w:hAnsi="Times New Roman" w:eastAsia="方正仿宋_GBK" w:cs="Times New Roman"/>
          <w:sz w:val="32"/>
          <w:szCs w:val="32"/>
          <w:lang w:eastAsia="zh-CN"/>
        </w:rPr>
        <w:t>填报进度</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直至项目完工</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autoSpaceDE w:val="0"/>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、请各</w:t>
      </w:r>
      <w:r>
        <w:rPr>
          <w:rFonts w:hint="eastAsia" w:ascii="Times New Roman" w:hAnsi="Times New Roman" w:eastAsia="方正仿宋_GBK" w:cs="Times New Roman"/>
          <w:sz w:val="32"/>
          <w:szCs w:val="32"/>
          <w:lang w:eastAsia="zh-CN"/>
        </w:rPr>
        <w:t>学校</w:t>
      </w:r>
      <w:r>
        <w:rPr>
          <w:rFonts w:hint="default" w:ascii="Times New Roman" w:hAnsi="Times New Roman" w:eastAsia="方正仿宋_GBK" w:cs="Times New Roman"/>
          <w:sz w:val="32"/>
          <w:szCs w:val="32"/>
        </w:rPr>
        <w:t>按照《义务教育薄弱环节改善与能力提升补助资金管理办法》(财教〔</w:t>
      </w:r>
      <w:r>
        <w:rPr>
          <w:rFonts w:hint="default" w:ascii="Times New Roman" w:hAnsi="Times New Roman" w:eastAsia="方正仿宋_GBK" w:cs="Times New Roman"/>
          <w:sz w:val="32"/>
          <w:szCs w:val="32"/>
          <w:lang w:val="en-US" w:eastAsia="zh-CN"/>
        </w:rPr>
        <w:t>2019</w:t>
      </w:r>
      <w:r>
        <w:rPr>
          <w:rFonts w:hint="default" w:ascii="Times New Roman" w:hAnsi="Times New Roman" w:eastAsia="方正仿宋_GBK" w:cs="Times New Roman"/>
          <w:sz w:val="32"/>
          <w:szCs w:val="32"/>
        </w:rPr>
        <w:t>〕100号)有关要求</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切实加强资金管理和监督检查</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不断提高资金使用效益</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及时组织对薄弱学校改造</w:t>
      </w:r>
      <w:r>
        <w:rPr>
          <w:rFonts w:hint="default" w:ascii="Times New Roman" w:hAnsi="Times New Roman" w:eastAsia="方正仿宋_GBK" w:cs="Times New Roman"/>
          <w:sz w:val="32"/>
          <w:szCs w:val="32"/>
          <w:lang w:eastAsia="zh-CN"/>
        </w:rPr>
        <w:t>计</w:t>
      </w:r>
      <w:r>
        <w:rPr>
          <w:rFonts w:hint="default" w:ascii="Times New Roman" w:hAnsi="Times New Roman" w:eastAsia="方正仿宋_GBK" w:cs="Times New Roman"/>
          <w:sz w:val="32"/>
          <w:szCs w:val="32"/>
        </w:rPr>
        <w:t>划实施项目的评估验收。</w:t>
      </w:r>
      <w:r>
        <w:rPr>
          <w:rFonts w:hint="eastAsia" w:ascii="Times New Roman" w:hAnsi="Times New Roman" w:eastAsia="方正仿宋_GBK" w:cs="Times New Roman"/>
          <w:sz w:val="32"/>
          <w:szCs w:val="32"/>
          <w:lang w:eastAsia="zh-CN"/>
        </w:rPr>
        <w:t>区</w:t>
      </w:r>
      <w:r>
        <w:rPr>
          <w:rFonts w:hint="default" w:ascii="Times New Roman" w:hAnsi="Times New Roman" w:eastAsia="方正仿宋_GBK" w:cs="Times New Roman"/>
          <w:sz w:val="32"/>
          <w:szCs w:val="32"/>
          <w:lang w:eastAsia="zh-CN"/>
        </w:rPr>
        <w:t>级相关部门将</w:t>
      </w:r>
      <w:r>
        <w:rPr>
          <w:rFonts w:hint="default" w:ascii="Times New Roman" w:hAnsi="Times New Roman" w:eastAsia="方正仿宋_GBK" w:cs="Times New Roman"/>
          <w:sz w:val="32"/>
          <w:szCs w:val="32"/>
        </w:rPr>
        <w:t>采取造当方式进行监督检查</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对于虚报、留领、挤占、挪用套取财改专项资金的行为</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将按照《财政违法行为处罚处分条例》(国务院令第427号)的有关规定严肃处理</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autoSpaceDE w:val="0"/>
        <w:autoSpaceDN/>
        <w:bidi w:val="0"/>
        <w:adjustRightInd/>
        <w:snapToGrid/>
        <w:spacing w:line="59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、请各</w:t>
      </w:r>
      <w:r>
        <w:rPr>
          <w:rFonts w:hint="eastAsia" w:ascii="Times New Roman" w:hAnsi="Times New Roman" w:eastAsia="方正仿宋_GBK" w:cs="Times New Roman"/>
          <w:sz w:val="32"/>
          <w:szCs w:val="32"/>
          <w:lang w:eastAsia="zh-CN"/>
        </w:rPr>
        <w:t>校</w:t>
      </w:r>
      <w:r>
        <w:rPr>
          <w:rFonts w:hint="default" w:ascii="Times New Roman" w:hAnsi="Times New Roman" w:eastAsia="方正仿宋_GBK" w:cs="Times New Roman"/>
          <w:sz w:val="32"/>
          <w:szCs w:val="32"/>
        </w:rPr>
        <w:t>严格桉照《云南省州市财政报算执行支出进度考核办法(修订版)》(云财</w:t>
      </w:r>
      <w:r>
        <w:rPr>
          <w:rFonts w:hint="default" w:ascii="Times New Roman" w:hAnsi="Times New Roman" w:eastAsia="方正仿宋_GBK" w:cs="Times New Roman"/>
          <w:sz w:val="32"/>
          <w:szCs w:val="32"/>
          <w:lang w:eastAsia="zh-CN"/>
        </w:rPr>
        <w:t>预</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201</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〕146号)要求</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全面加快预算执行进度。涉及政府采购的</w:t>
      </w:r>
      <w:r>
        <w:rPr>
          <w:rFonts w:hint="default" w:ascii="Times New Roman" w:hAnsi="Times New Roman" w:eastAsia="方正仿宋_GBK" w:cs="Times New Roman"/>
          <w:sz w:val="32"/>
          <w:szCs w:val="32"/>
          <w:lang w:eastAsia="zh-CN"/>
        </w:rPr>
        <w:t>项</w:t>
      </w:r>
      <w:r>
        <w:rPr>
          <w:rFonts w:hint="default" w:ascii="Times New Roman" w:hAnsi="Times New Roman" w:eastAsia="方正仿宋_GBK" w:cs="Times New Roman"/>
          <w:sz w:val="32"/>
          <w:szCs w:val="32"/>
        </w:rPr>
        <w:t>目</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要按照政府采购相关规定和程度办理。</w:t>
      </w:r>
    </w:p>
    <w:p>
      <w:pPr>
        <w:keepNext w:val="0"/>
        <w:keepLines w:val="0"/>
        <w:pageBreakBefore w:val="0"/>
        <w:widowControl w:val="0"/>
        <w:kinsoku/>
        <w:wordWrap/>
        <w:overflowPunct/>
        <w:topLinePunct/>
        <w:autoSpaceDE w:val="0"/>
        <w:autoSpaceDN/>
        <w:bidi w:val="0"/>
        <w:adjustRightInd/>
        <w:snapToGrid/>
        <w:spacing w:line="590" w:lineRule="exact"/>
        <w:ind w:left="1596" w:leftChars="304" w:right="0" w:rightChars="0" w:hanging="960" w:hangingChars="3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附件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江川区</w:t>
      </w:r>
      <w:r>
        <w:rPr>
          <w:rFonts w:hint="default" w:ascii="Times New Roman" w:hAnsi="Times New Roman" w:eastAsia="方正仿宋_GBK" w:cs="Times New Roman"/>
          <w:sz w:val="32"/>
          <w:szCs w:val="32"/>
          <w:lang w:val="en-US" w:eastAsia="zh-CN"/>
        </w:rPr>
        <w:t>2019年</w:t>
      </w:r>
      <w:r>
        <w:rPr>
          <w:rFonts w:hint="default" w:ascii="Times New Roman" w:hAnsi="Times New Roman" w:eastAsia="方正仿宋_GBK" w:cs="Times New Roman"/>
          <w:sz w:val="32"/>
          <w:szCs w:val="32"/>
          <w:lang w:eastAsia="zh-CN"/>
        </w:rPr>
        <w:t>义</w:t>
      </w:r>
      <w:r>
        <w:rPr>
          <w:rFonts w:hint="default" w:ascii="Times New Roman" w:hAnsi="Times New Roman" w:eastAsia="方正仿宋_GBK" w:cs="Times New Roman"/>
          <w:sz w:val="32"/>
          <w:szCs w:val="32"/>
        </w:rPr>
        <w:t>务教育</w:t>
      </w:r>
      <w:r>
        <w:rPr>
          <w:rFonts w:hint="default" w:ascii="Times New Roman" w:hAnsi="Times New Roman" w:eastAsia="方正仿宋_GBK" w:cs="Times New Roman"/>
          <w:sz w:val="32"/>
          <w:szCs w:val="32"/>
          <w:lang w:eastAsia="zh-CN"/>
        </w:rPr>
        <w:t>薄弱</w:t>
      </w:r>
      <w:r>
        <w:rPr>
          <w:rFonts w:hint="default" w:ascii="Times New Roman" w:hAnsi="Times New Roman" w:eastAsia="方正仿宋_GBK" w:cs="Times New Roman"/>
          <w:sz w:val="32"/>
          <w:szCs w:val="32"/>
        </w:rPr>
        <w:t>环节</w:t>
      </w:r>
      <w:r>
        <w:rPr>
          <w:rFonts w:hint="default" w:ascii="Times New Roman" w:hAnsi="Times New Roman" w:eastAsia="方正仿宋_GBK" w:cs="Times New Roman"/>
          <w:sz w:val="32"/>
          <w:szCs w:val="32"/>
          <w:lang w:eastAsia="zh-CN"/>
        </w:rPr>
        <w:t>改善</w:t>
      </w:r>
      <w:r>
        <w:rPr>
          <w:rFonts w:hint="default" w:ascii="Times New Roman" w:hAnsi="Times New Roman" w:eastAsia="方正仿宋_GBK" w:cs="Times New Roman"/>
          <w:sz w:val="32"/>
          <w:szCs w:val="32"/>
        </w:rPr>
        <w:t>与能力</w:t>
      </w:r>
      <w:r>
        <w:rPr>
          <w:rFonts w:hint="default" w:ascii="Times New Roman" w:hAnsi="Times New Roman" w:eastAsia="方正仿宋_GBK" w:cs="Times New Roman"/>
          <w:sz w:val="32"/>
          <w:szCs w:val="32"/>
          <w:lang w:eastAsia="zh-CN"/>
        </w:rPr>
        <w:t>提升省级补</w:t>
      </w:r>
      <w:r>
        <w:rPr>
          <w:rFonts w:hint="default" w:ascii="Times New Roman" w:hAnsi="Times New Roman" w:eastAsia="方正仿宋_GBK" w:cs="Times New Roman"/>
          <w:sz w:val="32"/>
          <w:szCs w:val="32"/>
        </w:rPr>
        <w:t>助资金</w:t>
      </w:r>
      <w:r>
        <w:rPr>
          <w:rFonts w:hint="eastAsia" w:ascii="Times New Roman" w:hAnsi="Times New Roman" w:eastAsia="方正仿宋_GBK" w:cs="Times New Roman"/>
          <w:sz w:val="32"/>
          <w:szCs w:val="32"/>
          <w:lang w:eastAsia="zh-CN"/>
        </w:rPr>
        <w:t>分配</w:t>
      </w:r>
      <w:r>
        <w:rPr>
          <w:rFonts w:hint="default" w:ascii="Times New Roman" w:hAnsi="Times New Roman" w:eastAsia="方正仿宋_GBK" w:cs="Times New Roman"/>
          <w:sz w:val="32"/>
          <w:szCs w:val="32"/>
        </w:rPr>
        <w:t>表</w:t>
      </w:r>
    </w:p>
    <w:p>
      <w:pPr>
        <w:keepNext w:val="0"/>
        <w:keepLines w:val="0"/>
        <w:pageBreakBefore w:val="0"/>
        <w:widowControl w:val="0"/>
        <w:numPr>
          <w:ilvl w:val="0"/>
          <w:numId w:val="1"/>
        </w:numPr>
        <w:kinsoku/>
        <w:wordWrap/>
        <w:overflowPunct/>
        <w:topLinePunct/>
        <w:autoSpaceDE w:val="0"/>
        <w:autoSpaceDN/>
        <w:bidi w:val="0"/>
        <w:adjustRightInd/>
        <w:snapToGrid/>
        <w:spacing w:line="590" w:lineRule="exact"/>
        <w:ind w:left="1476" w:leftChars="703" w:right="0" w:rightChars="0" w:firstLine="2" w:firstLineChars="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江川区2019年</w:t>
      </w:r>
      <w:r>
        <w:rPr>
          <w:rFonts w:hint="default" w:ascii="Times New Roman" w:hAnsi="Times New Roman" w:eastAsia="方正仿宋_GBK" w:cs="Times New Roman"/>
          <w:sz w:val="32"/>
          <w:szCs w:val="32"/>
          <w:lang w:val="en-US" w:eastAsia="zh-CN"/>
        </w:rPr>
        <w:t>义务教育薄弱环节改善与能力提升资金绩效目标下达表</w:t>
      </w:r>
    </w:p>
    <w:p>
      <w:pPr>
        <w:keepNext w:val="0"/>
        <w:keepLines w:val="0"/>
        <w:pageBreakBefore w:val="0"/>
        <w:widowControl w:val="0"/>
        <w:kinsoku/>
        <w:wordWrap/>
        <w:overflowPunct/>
        <w:topLinePunct/>
        <w:autoSpaceDE w:val="0"/>
        <w:autoSpaceDN/>
        <w:bidi w:val="0"/>
        <w:adjustRightInd/>
        <w:snapToGrid/>
        <w:spacing w:line="590" w:lineRule="exact"/>
        <w:ind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玉溪市</w:t>
      </w:r>
      <w:r>
        <w:rPr>
          <w:rFonts w:hint="eastAsia" w:ascii="Times New Roman" w:hAnsi="Times New Roman" w:eastAsia="方正仿宋_GBK" w:cs="Times New Roman"/>
          <w:sz w:val="32"/>
          <w:szCs w:val="32"/>
          <w:lang w:eastAsia="zh-CN"/>
        </w:rPr>
        <w:t>江川区</w:t>
      </w:r>
      <w:r>
        <w:rPr>
          <w:rFonts w:hint="default" w:ascii="Times New Roman" w:hAnsi="Times New Roman" w:eastAsia="方正仿宋_GBK" w:cs="Times New Roman"/>
          <w:sz w:val="32"/>
          <w:szCs w:val="32"/>
        </w:rPr>
        <w:t>财政局  玉溪市</w:t>
      </w:r>
      <w:r>
        <w:rPr>
          <w:rFonts w:hint="eastAsia" w:ascii="Times New Roman" w:hAnsi="Times New Roman" w:eastAsia="方正仿宋_GBK" w:cs="Times New Roman"/>
          <w:sz w:val="32"/>
          <w:szCs w:val="32"/>
          <w:lang w:eastAsia="zh-CN"/>
        </w:rPr>
        <w:t>江川区</w:t>
      </w:r>
      <w:r>
        <w:rPr>
          <w:rFonts w:hint="default" w:ascii="Times New Roman" w:hAnsi="Times New Roman" w:eastAsia="方正仿宋_GBK" w:cs="Times New Roman"/>
          <w:sz w:val="32"/>
          <w:szCs w:val="32"/>
        </w:rPr>
        <w:t>教育</w:t>
      </w:r>
      <w:r>
        <w:rPr>
          <w:rFonts w:hint="default" w:ascii="Times New Roman" w:hAnsi="Times New Roman" w:eastAsia="方正仿宋_GBK" w:cs="Times New Roman"/>
          <w:sz w:val="32"/>
          <w:szCs w:val="32"/>
          <w:lang w:eastAsia="zh-CN"/>
        </w:rPr>
        <w:t>体育</w:t>
      </w:r>
      <w:r>
        <w:rPr>
          <w:rFonts w:hint="default" w:ascii="Times New Roman" w:hAnsi="Times New Roman" w:eastAsia="方正仿宋_GBK" w:cs="Times New Roman"/>
          <w:sz w:val="32"/>
          <w:szCs w:val="32"/>
        </w:rPr>
        <w:t>局</w:t>
      </w:r>
    </w:p>
    <w:p>
      <w:pPr>
        <w:keepNext w:val="0"/>
        <w:keepLines w:val="0"/>
        <w:pageBreakBefore w:val="0"/>
        <w:widowControl w:val="0"/>
        <w:kinsoku/>
        <w:wordWrap/>
        <w:overflowPunct/>
        <w:topLinePunct/>
        <w:autoSpaceDE w:val="0"/>
        <w:autoSpaceDN/>
        <w:bidi w:val="0"/>
        <w:adjustRightInd/>
        <w:snapToGrid/>
        <w:spacing w:line="590" w:lineRule="exact"/>
        <w:ind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20</w:t>
      </w:r>
      <w:r>
        <w:rPr>
          <w:rFonts w:hint="eastAsia" w:ascii="Times New Roman" w:hAnsi="Times New Roman" w:eastAsia="方正仿宋_GBK" w:cs="Times New Roman"/>
          <w:sz w:val="32"/>
          <w:szCs w:val="32"/>
          <w:lang w:val="en-US" w:eastAsia="zh-CN"/>
        </w:rPr>
        <w:t>20</w:t>
      </w:r>
      <w:r>
        <w:rPr>
          <w:rFonts w:hint="default"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24</w:t>
      </w:r>
      <w:r>
        <w:rPr>
          <w:rFonts w:hint="default" w:ascii="Times New Roman" w:hAnsi="Times New Roman" w:eastAsia="方正仿宋_GBK" w:cs="Times New Roman"/>
          <w:sz w:val="32"/>
          <w:szCs w:val="32"/>
        </w:rPr>
        <w:t>日</w:t>
      </w:r>
    </w:p>
    <w:p>
      <w:pPr>
        <w:ind w:firstLine="640" w:firstLineChars="200"/>
        <w:rPr>
          <w:rFonts w:ascii="Calibri" w:hAnsi="Calibri" w:eastAsia="方正小标宋_GBK"/>
          <w:sz w:val="32"/>
          <w:szCs w:val="32"/>
        </w:rPr>
      </w:pPr>
    </w:p>
    <w:p>
      <w:pPr>
        <w:spacing w:line="500" w:lineRule="exact"/>
        <w:jc w:val="left"/>
        <w:rPr>
          <w:rFonts w:hint="eastAsia" w:ascii="仿宋_GB2312" w:eastAsia="仿宋_GB2312"/>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p>
    <w:p>
      <w:pPr>
        <w:spacing w:line="500" w:lineRule="exact"/>
        <w:jc w:val="lef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p>
    <w:p>
      <w:pPr>
        <w:spacing w:line="500" w:lineRule="exact"/>
        <w:jc w:val="left"/>
        <w:rPr>
          <w:rFonts w:hint="eastAsia" w:ascii="仿宋_GB2312" w:eastAsia="仿宋_GB2312"/>
          <w:sz w:val="32"/>
          <w:szCs w:val="32"/>
        </w:rPr>
      </w:pPr>
    </w:p>
    <w:tbl>
      <w:tblPr>
        <w:tblStyle w:val="5"/>
        <w:tblW w:w="1353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0"/>
        <w:gridCol w:w="2469"/>
        <w:gridCol w:w="1785"/>
        <w:gridCol w:w="1920"/>
        <w:gridCol w:w="1170"/>
        <w:gridCol w:w="1710"/>
        <w:gridCol w:w="1920"/>
        <w:gridCol w:w="1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40" w:hRule="atLeast"/>
        </w:trPr>
        <w:tc>
          <w:tcPr>
            <w:tcW w:w="13534" w:type="dxa"/>
            <w:gridSpan w:val="8"/>
            <w:shd w:val="clear" w:color="auto" w:fill="auto"/>
            <w:vAlign w:val="center"/>
          </w:tcPr>
          <w:p>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江川区2019年义务教育薄弱环节改善与能力提升省级资金分配表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534" w:type="dxa"/>
            <w:gridSpan w:val="8"/>
            <w:tcBorders>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单位：平方米、万元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序号</w:t>
            </w:r>
          </w:p>
        </w:tc>
        <w:tc>
          <w:tcPr>
            <w:tcW w:w="24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学校名称</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项目学校</w:t>
            </w:r>
          </w:p>
        </w:tc>
        <w:tc>
          <w:tcPr>
            <w:tcW w:w="67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项目建设计划</w:t>
            </w:r>
          </w:p>
        </w:tc>
        <w:tc>
          <w:tcPr>
            <w:tcW w:w="1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920"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项目名称</w:t>
            </w:r>
          </w:p>
        </w:tc>
        <w:tc>
          <w:tcPr>
            <w:tcW w:w="1170"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建筑面积（平方米）</w:t>
            </w:r>
          </w:p>
        </w:tc>
        <w:tc>
          <w:tcPr>
            <w:tcW w:w="3630"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本次下达资金</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92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sz w:val="22"/>
                <w:szCs w:val="22"/>
                <w:u w:val="none"/>
              </w:rPr>
            </w:pP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补助资金</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小 计</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3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合  计</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color w:val="000000"/>
                <w:sz w:val="20"/>
                <w:szCs w:val="20"/>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12000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391.54</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391.54</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4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大街街道伏家营中心小学</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螺蛳铺小学</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综合楼新建</w:t>
            </w:r>
          </w:p>
        </w:tc>
        <w:tc>
          <w:tcPr>
            <w:tcW w:w="1170" w:type="dxa"/>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61.88</w:t>
            </w:r>
          </w:p>
        </w:tc>
        <w:tc>
          <w:tcPr>
            <w:tcW w:w="1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109.88</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运动场提升改造</w:t>
            </w:r>
          </w:p>
        </w:tc>
        <w:tc>
          <w:tcPr>
            <w:tcW w:w="11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1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九溪镇中心小学                                                      </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九溪镇河口小学                                                      </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运动场提升改造</w:t>
            </w:r>
          </w:p>
        </w:tc>
        <w:tc>
          <w:tcPr>
            <w:tcW w:w="11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江城镇江城中学                                                      </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江城中学                                                      </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运动场提升改造</w:t>
            </w:r>
          </w:p>
        </w:tc>
        <w:tc>
          <w:tcPr>
            <w:tcW w:w="11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209.66</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209.66</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bl>
    <w:p>
      <w:pPr>
        <w:spacing w:line="500" w:lineRule="exact"/>
        <w:jc w:val="left"/>
        <w:rPr>
          <w:rFonts w:hint="eastAsia" w:ascii="仿宋_GB2312" w:eastAsia="仿宋_GB2312"/>
          <w:sz w:val="32"/>
          <w:szCs w:val="32"/>
        </w:rPr>
        <w:sectPr>
          <w:pgSz w:w="16838" w:h="11906" w:orient="landscape"/>
          <w:pgMar w:top="1800" w:right="1440" w:bottom="1800" w:left="1440" w:header="851" w:footer="992" w:gutter="0"/>
          <w:cols w:space="425" w:num="1"/>
          <w:docGrid w:type="lines" w:linePitch="312" w:charSpace="0"/>
        </w:sectPr>
      </w:pPr>
    </w:p>
    <w:p>
      <w:pPr>
        <w:spacing w:line="500" w:lineRule="exact"/>
        <w:jc w:val="left"/>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tbl>
      <w:tblPr>
        <w:tblStyle w:val="5"/>
        <w:tblW w:w="144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81"/>
        <w:gridCol w:w="1273"/>
        <w:gridCol w:w="648"/>
        <w:gridCol w:w="3225"/>
        <w:gridCol w:w="2681"/>
        <w:gridCol w:w="53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14411" w:type="dxa"/>
            <w:gridSpan w:val="6"/>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
              </w:rPr>
              <w:t>江川区2019年义务教育薄弱环节改善与能力提升资金绩效目标下达表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554" w:type="dxa"/>
            <w:gridSpan w:val="2"/>
            <w:shd w:val="clear" w:color="auto" w:fill="auto"/>
            <w:vAlign w:val="center"/>
          </w:tcPr>
          <w:p>
            <w:pPr>
              <w:jc w:val="center"/>
              <w:rPr>
                <w:rFonts w:hint="eastAsia" w:ascii="宋体" w:hAnsi="宋体" w:eastAsia="宋体" w:cs="宋体"/>
                <w:b/>
                <w:i w:val="0"/>
                <w:color w:val="000000"/>
                <w:sz w:val="22"/>
                <w:szCs w:val="22"/>
                <w:u w:val="none"/>
              </w:rPr>
            </w:pPr>
          </w:p>
        </w:tc>
        <w:tc>
          <w:tcPr>
            <w:tcW w:w="11857" w:type="dxa"/>
            <w:gridSpan w:val="4"/>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2019年义务教育薄弱环节改善与能力提升省级补助资金</w:t>
            </w:r>
          </w:p>
        </w:tc>
        <w:tc>
          <w:tcPr>
            <w:tcW w:w="53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预算资金安排（万元）：391.54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64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项目年度目标</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依据各县区义务教育薄弱环节改善与能力提升规划资金控制额度和分担比例，义务教育薄弱环节改善与能力提升省级专项资金按时下达至项目学校，按期完成项目规划年度目标任务，全市义务教育学校办学条件持续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4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年度目标任务</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本次下达目标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7"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7"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资金到位率</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受益学生人数（万人）</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7"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投资完成率</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效果指标</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社会指标</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完成校舍(场地、围墙）建设面积（万平方米、万米）</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效果指标</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社会指标</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完成设备采购（万台件套）</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效果指标</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补助对象对政策的知晓度</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9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群众满意度</w:t>
            </w:r>
          </w:p>
        </w:tc>
        <w:tc>
          <w:tcPr>
            <w:tcW w:w="7984" w:type="dxa"/>
            <w:gridSpan w:val="2"/>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&gt;80%</w:t>
            </w:r>
          </w:p>
        </w:tc>
      </w:tr>
    </w:tbl>
    <w:p>
      <w:pPr>
        <w:spacing w:line="500" w:lineRule="exact"/>
        <w:jc w:val="left"/>
        <w:rPr>
          <w:rFonts w:hint="eastAsia" w:ascii="仿宋_GB2312" w:eastAsia="仿宋_GB2312"/>
          <w:sz w:val="32"/>
          <w:szCs w:val="32"/>
        </w:rPr>
        <w:sectPr>
          <w:pgSz w:w="16783" w:h="11850" w:orient="landscape"/>
          <w:pgMar w:top="1440" w:right="1080" w:bottom="1440" w:left="1080" w:header="851" w:footer="992" w:gutter="0"/>
          <w:pgNumType w:fmt="numberInDash"/>
          <w:cols w:space="0" w:num="1"/>
          <w:rtlGutter w:val="0"/>
          <w:docGrid w:type="lines" w:linePitch="317" w:charSpace="0"/>
        </w:sect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line="500" w:lineRule="exact"/>
        <w:jc w:val="left"/>
        <w:rPr>
          <w:rFonts w:hint="eastAsia" w:ascii="仿宋_GB2312" w:eastAsia="仿宋_GB2312"/>
          <w:sz w:val="32"/>
          <w:szCs w:val="32"/>
        </w:rPr>
      </w:pPr>
    </w:p>
    <w:p>
      <w:pPr>
        <w:spacing w:after="319" w:afterLines="100" w:afterAutospacing="0" w:line="500" w:lineRule="exact"/>
        <w:jc w:val="left"/>
        <w:rPr>
          <w:rFonts w:hint="eastAsia" w:ascii="仿宋_GB2312" w:eastAsia="仿宋_GB2312"/>
          <w:sz w:val="32"/>
          <w:szCs w:val="32"/>
        </w:rPr>
      </w:pPr>
    </w:p>
    <w:p>
      <w:pPr>
        <w:spacing w:beforeAutospacing="0" w:line="500" w:lineRule="exact"/>
        <w:jc w:val="lef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40640</wp:posOffset>
                </wp:positionV>
                <wp:extent cx="5687695" cy="635"/>
                <wp:effectExtent l="0" t="0" r="0" b="0"/>
                <wp:wrapNone/>
                <wp:docPr id="2" name="Line 4"/>
                <wp:cNvGraphicFramePr/>
                <a:graphic xmlns:a="http://schemas.openxmlformats.org/drawingml/2006/main">
                  <a:graphicData uri="http://schemas.microsoft.com/office/word/2010/wordprocessingShape">
                    <wps:wsp>
                      <wps:cNvCnPr/>
                      <wps:spPr>
                        <a:xfrm>
                          <a:off x="0" y="0"/>
                          <a:ext cx="5687695" cy="635"/>
                        </a:xfrm>
                        <a:prstGeom prst="line">
                          <a:avLst/>
                        </a:prstGeom>
                        <a:ln w="4444" cap="flat" cmpd="sng">
                          <a:solidFill>
                            <a:srgbClr val="000000"/>
                          </a:solidFill>
                          <a:prstDash val="solid"/>
                          <a:headEnd type="none" w="med" len="med"/>
                          <a:tailEnd type="none" w="med" len="med"/>
                        </a:ln>
                      </wps:spPr>
                      <wps:bodyPr upright="1"/>
                    </wps:wsp>
                  </a:graphicData>
                </a:graphic>
              </wp:anchor>
            </w:drawing>
          </mc:Choice>
          <mc:Fallback>
            <w:pict>
              <v:line id="Line 4" o:spid="_x0000_s1026" o:spt="20" style="position:absolute;left:0pt;margin-left:3.45pt;margin-top:3.2pt;height:0.05pt;width:447.85pt;z-index:251660288;mso-width-relative:page;mso-height-relative:page;" filled="f" stroked="t" coordsize="21600,21600" o:gfxdata="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0+DuW1AAAAAUBAAAPAAAAAAAAAAEAIAAAACIAAABkcnMvZG93bnJldi54bWxQ&#10;SwECFAAUAAAACACHTuJAkcvTRMIBAACNAwAADgAAAAAAAAABACAAAAAjAQAAZHJzL2Uyb0RvYy54&#10;bWxQSwUGAAAAAAYABgBZAQAAVwUAAAAA&#10;">
                <v:fill on="f" focussize="0,0"/>
                <v:stroke weight="0.34992125984252pt" color="#000000" joinstyle="round"/>
                <v:imagedata o:title=""/>
                <o:lock v:ext="edit" aspectratio="f"/>
              </v:line>
            </w:pict>
          </mc:Fallback>
        </mc:AlternateContent>
      </w:r>
      <w:r>
        <w:rPr>
          <w:rFonts w:hint="default" w:ascii="Times New Roman" w:hAnsi="Times New Roman" w:eastAsia="方正仿宋_GBK" w:cs="Times New Roman"/>
          <w:sz w:val="28"/>
          <w:szCs w:val="28"/>
        </w:rPr>
        <w:t xml:space="preserve"> 抄送：本局预算</w:t>
      </w:r>
      <w:r>
        <w:rPr>
          <w:rFonts w:hint="eastAsia" w:ascii="Times New Roman" w:hAnsi="Times New Roman" w:eastAsia="方正仿宋_GBK" w:cs="Times New Roman"/>
          <w:sz w:val="28"/>
          <w:szCs w:val="28"/>
          <w:lang w:eastAsia="zh-CN"/>
        </w:rPr>
        <w:t>股</w:t>
      </w:r>
      <w:r>
        <w:rPr>
          <w:rFonts w:hint="default" w:ascii="Times New Roman" w:hAnsi="Times New Roman" w:eastAsia="方正仿宋_GBK" w:cs="Times New Roman"/>
          <w:sz w:val="28"/>
          <w:szCs w:val="28"/>
        </w:rPr>
        <w:t>。</w:t>
      </w:r>
    </w:p>
    <w:p>
      <w:pPr>
        <w:spacing w:line="500" w:lineRule="exact"/>
        <w:rPr>
          <w:rFonts w:hint="default" w:ascii="Times New Roman" w:hAnsi="Times New Roman" w:eastAsia="方正仿宋_GBK" w:cs="Times New Roman"/>
        </w:rPr>
      </w:pPr>
      <w:r>
        <w:rPr>
          <w:rFonts w:hint="default" w:ascii="Times New Roman" w:hAnsi="Times New Roman" w:eastAsia="方正仿宋_GBK" w:cs="Times New Roman"/>
        </w:rPr>
        <mc:AlternateContent>
          <mc:Choice Requires="wps">
            <w:drawing>
              <wp:anchor distT="0" distB="0" distL="114300" distR="114300" simplePos="0" relativeHeight="251661312" behindDoc="0" locked="0" layoutInCell="1" allowOverlap="1">
                <wp:simplePos x="0" y="0"/>
                <wp:positionH relativeFrom="column">
                  <wp:posOffset>23495</wp:posOffset>
                </wp:positionH>
                <wp:positionV relativeFrom="paragraph">
                  <wp:posOffset>321945</wp:posOffset>
                </wp:positionV>
                <wp:extent cx="5687695" cy="635"/>
                <wp:effectExtent l="0" t="0" r="0" b="0"/>
                <wp:wrapNone/>
                <wp:docPr id="5" name="Line 5"/>
                <wp:cNvGraphicFramePr/>
                <a:graphic xmlns:a="http://schemas.openxmlformats.org/drawingml/2006/main">
                  <a:graphicData uri="http://schemas.microsoft.com/office/word/2010/wordprocessingShape">
                    <wps:wsp>
                      <wps:cNvCnPr/>
                      <wps:spPr>
                        <a:xfrm>
                          <a:off x="0" y="0"/>
                          <a:ext cx="5687695" cy="635"/>
                        </a:xfrm>
                        <a:prstGeom prst="line">
                          <a:avLst/>
                        </a:prstGeom>
                        <a:ln w="4444" cap="flat" cmpd="sng">
                          <a:solidFill>
                            <a:srgbClr val="000000"/>
                          </a:solidFill>
                          <a:prstDash val="solid"/>
                          <a:headEnd type="none" w="med" len="med"/>
                          <a:tailEnd type="none" w="med" len="med"/>
                        </a:ln>
                      </wps:spPr>
                      <wps:bodyPr upright="1"/>
                    </wps:wsp>
                  </a:graphicData>
                </a:graphic>
              </wp:anchor>
            </w:drawing>
          </mc:Choice>
          <mc:Fallback>
            <w:pict>
              <v:line id="Line 5" o:spid="_x0000_s1026" o:spt="20" style="position:absolute;left:0pt;margin-left:1.85pt;margin-top:25.35pt;height:0.05pt;width:447.85pt;z-index:251661312;mso-width-relative:page;mso-height-relative:page;" filled="f" stroked="t" coordsize="21600,21600" o:gfxdata="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GJBbp1gAAAAcBAAAPAAAAAAAAAAEAIAAAACIAAABkcnMvZG93bnJldi54&#10;bWxQSwECFAAUAAAACACHTuJA0jwrSMMBAACNAwAADgAAAAAAAAABACAAAAAlAQAAZHJzL2Uyb0Rv&#10;Yy54bWxQSwUGAAAAAAYABgBZAQAAWgUAAAAA&#10;">
                <v:fill on="f" focussize="0,0"/>
                <v:stroke weight="0.34992125984252pt" color="#000000" joinstyle="round"/>
                <v:imagedata o:title=""/>
                <o:lock v:ext="edit" aspectratio="f"/>
              </v:line>
            </w:pict>
          </mc:Fallback>
        </mc:AlternateContent>
      </w:r>
      <w:r>
        <w:rPr>
          <w:rFonts w:hint="default" w:ascii="Times New Roman" w:hAnsi="Times New Roman" w:eastAsia="方正仿宋_GBK" w:cs="Times New Roman"/>
        </w:rPr>
        <mc:AlternateContent>
          <mc:Choice Requires="wps">
            <w:drawing>
              <wp:anchor distT="0" distB="0" distL="114300" distR="114300" simplePos="0" relativeHeight="251662336" behindDoc="0" locked="0" layoutInCell="1" allowOverlap="1">
                <wp:simplePos x="0" y="0"/>
                <wp:positionH relativeFrom="column">
                  <wp:posOffset>22860</wp:posOffset>
                </wp:positionH>
                <wp:positionV relativeFrom="paragraph">
                  <wp:posOffset>28575</wp:posOffset>
                </wp:positionV>
                <wp:extent cx="5687695" cy="635"/>
                <wp:effectExtent l="0" t="0" r="0" b="0"/>
                <wp:wrapNone/>
                <wp:docPr id="4" name="Line 6"/>
                <wp:cNvGraphicFramePr/>
                <a:graphic xmlns:a="http://schemas.openxmlformats.org/drawingml/2006/main">
                  <a:graphicData uri="http://schemas.microsoft.com/office/word/2010/wordprocessingShape">
                    <wps:wsp>
                      <wps:cNvCnPr/>
                      <wps:spPr>
                        <a:xfrm>
                          <a:off x="0" y="0"/>
                          <a:ext cx="5687695" cy="63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Line 6" o:spid="_x0000_s1026" o:spt="20" style="position:absolute;left:0pt;margin-left:1.8pt;margin-top:2.25pt;height:0.05pt;width:447.85pt;z-index:251662336;mso-width-relative:page;mso-height-relative:page;" filled="f" stroked="t" coordsize="21600,21600" o:gfxdata="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Rh52ZtUAAAAFAQAADwAAAAAAAAABACAAAAAiAAAAZHJzL2Rvd25yZXYueG1s&#10;UEsBAhQAFAAAAAgAh07iQJ7mPULCAQAAjQMAAA4AAAAAAAAAAQAgAAAAJAEAAGRycy9lMm9Eb2Mu&#10;eG1sUEsFBgAAAAAGAAYAWQEAAFgFAAAAAA==&#10;">
                <v:fill on="f" focussize="0,0"/>
                <v:stroke weight="0.25pt" color="#000000" joinstyle="round"/>
                <v:imagedata o:title=""/>
                <o:lock v:ext="edit" aspectratio="f"/>
              </v:line>
            </w:pict>
          </mc:Fallback>
        </mc:AlternateContent>
      </w:r>
      <w:r>
        <w:rPr>
          <w:rFonts w:hint="default" w:ascii="Times New Roman" w:hAnsi="Times New Roman" w:eastAsia="方正仿宋_GBK" w:cs="Times New Roman"/>
          <w:sz w:val="28"/>
          <w:szCs w:val="28"/>
        </w:rPr>
        <w:t xml:space="preserve"> 玉溪市</w:t>
      </w:r>
      <w:r>
        <w:rPr>
          <w:rFonts w:hint="eastAsia" w:ascii="Times New Roman" w:hAnsi="Times New Roman" w:eastAsia="方正仿宋_GBK" w:cs="Times New Roman"/>
          <w:sz w:val="28"/>
          <w:szCs w:val="28"/>
          <w:lang w:eastAsia="zh-CN"/>
        </w:rPr>
        <w:t>江川区</w:t>
      </w:r>
      <w:r>
        <w:rPr>
          <w:rFonts w:hint="default" w:ascii="Times New Roman" w:hAnsi="Times New Roman" w:eastAsia="方正仿宋_GBK" w:cs="Times New Roman"/>
          <w:sz w:val="28"/>
          <w:szCs w:val="28"/>
        </w:rPr>
        <w:t xml:space="preserve">财政局办公室     </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 xml:space="preserve">   </w:t>
      </w:r>
      <w:r>
        <w:rPr>
          <w:rFonts w:hint="eastAsia"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 xml:space="preserve">      20</w:t>
      </w:r>
      <w:r>
        <w:rPr>
          <w:rFonts w:hint="eastAsia" w:ascii="Times New Roman" w:hAnsi="Times New Roman" w:eastAsia="方正仿宋_GBK" w:cs="Times New Roman"/>
          <w:sz w:val="28"/>
          <w:szCs w:val="28"/>
          <w:lang w:val="en-US" w:eastAsia="zh-CN"/>
        </w:rPr>
        <w:t>20</w:t>
      </w:r>
      <w:r>
        <w:rPr>
          <w:rFonts w:hint="default" w:ascii="Times New Roman" w:hAnsi="Times New Roman" w:eastAsia="方正仿宋_GBK" w:cs="Times New Roman"/>
          <w:sz w:val="28"/>
          <w:szCs w:val="28"/>
        </w:rPr>
        <w:t>年</w:t>
      </w:r>
      <w:r>
        <w:rPr>
          <w:rFonts w:hint="eastAsia" w:ascii="Times New Roman" w:hAnsi="Times New Roman" w:eastAsia="方正仿宋_GBK" w:cs="Times New Roman"/>
          <w:sz w:val="28"/>
          <w:szCs w:val="28"/>
          <w:lang w:val="en-US" w:eastAsia="zh-CN"/>
        </w:rPr>
        <w:t>2</w:t>
      </w:r>
      <w:r>
        <w:rPr>
          <w:rFonts w:hint="default"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24</w:t>
      </w:r>
      <w:r>
        <w:rPr>
          <w:rFonts w:hint="default" w:ascii="Times New Roman" w:hAnsi="Times New Roman" w:eastAsia="方正仿宋_GBK" w:cs="Times New Roman"/>
          <w:sz w:val="28"/>
          <w:szCs w:val="28"/>
        </w:rPr>
        <w:t>日印发</w:t>
      </w:r>
    </w:p>
    <w:sectPr>
      <w:pgSz w:w="11850" w:h="16783"/>
      <w:pgMar w:top="2041" w:right="1474" w:bottom="1304" w:left="1587" w:header="851" w:footer="992" w:gutter="0"/>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Segoe UI">
    <w:panose1 w:val="020B0502040204020203"/>
    <w:charset w:val="00"/>
    <w:family w:val="auto"/>
    <w:pitch w:val="default"/>
    <w:sig w:usb0="E10022FF" w:usb1="C000E47F" w:usb2="00000029" w:usb3="00000000" w:csb0="200001DF" w:csb1="20000000"/>
  </w:font>
  <w:font w:name="Wingdings 2">
    <w:panose1 w:val="05020102010507070707"/>
    <w:charset w:val="00"/>
    <w:family w:val="auto"/>
    <w:pitch w:val="default"/>
    <w:sig w:usb0="00000000" w:usb1="00000000" w:usb2="00000000" w:usb3="00000000" w:csb0="8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方正宋一简体">
    <w:altName w:val="宋体"/>
    <w:panose1 w:val="03000509000000000000"/>
    <w:charset w:val="86"/>
    <w:family w:val="auto"/>
    <w:pitch w:val="default"/>
    <w:sig w:usb0="00000000" w:usb1="00000000" w:usb2="00000000" w:usb3="00000000" w:csb0="00040000" w:csb1="00000000"/>
  </w:font>
  <w:font w:name="方正宋一繁体">
    <w:altName w:val="宋体"/>
    <w:panose1 w:val="03000509000000000000"/>
    <w:charset w:val="86"/>
    <w:family w:val="auto"/>
    <w:pitch w:val="default"/>
    <w:sig w:usb0="00000000" w:usb1="00000000" w:usb2="00000000" w:usb3="00000000" w:csb0="00040000" w:csb1="00000000"/>
  </w:font>
  <w:font w:name="方正宋三简体">
    <w:altName w:val="宋体"/>
    <w:panose1 w:val="02010601030101010101"/>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小标宋繁体">
    <w:altName w:val="宋体"/>
    <w:panose1 w:val="02010601030101010101"/>
    <w:charset w:val="86"/>
    <w:family w:val="auto"/>
    <w:pitch w:val="default"/>
    <w:sig w:usb0="00000000" w:usb1="00000000" w:usb2="00000000" w:usb3="00000000" w:csb0="00040000" w:csb1="00000000"/>
  </w:font>
  <w:font w:name="方正小篆体">
    <w:altName w:val="宋体"/>
    <w:panose1 w:val="03000509000000000000"/>
    <w:charset w:val="86"/>
    <w:family w:val="auto"/>
    <w:pitch w:val="default"/>
    <w:sig w:usb0="00000000" w:usb1="00000000" w:usb2="00000000" w:usb3="00000000" w:csb0="00040000" w:csb1="00000000"/>
  </w:font>
  <w:font w:name="方正少儿简体">
    <w:altName w:val="宋体"/>
    <w:panose1 w:val="03000509000000000000"/>
    <w:charset w:val="86"/>
    <w:family w:val="auto"/>
    <w:pitch w:val="default"/>
    <w:sig w:usb0="00000000" w:usb1="00000000" w:usb2="00000000" w:usb3="00000000" w:csb0="00040000" w:csb1="00000000"/>
  </w:font>
  <w:font w:name="方正少儿繁体">
    <w:altName w:val="宋体"/>
    <w:panose1 w:val="03000509000000000000"/>
    <w:charset w:val="86"/>
    <w:family w:val="auto"/>
    <w:pitch w:val="default"/>
    <w:sig w:usb0="00000000" w:usb1="00000000" w:usb2="00000000" w:usb3="00000000" w:csb0="00040000" w:csb1="00000000"/>
  </w:font>
  <w:font w:name="方正平和简体">
    <w:altName w:val="宋体"/>
    <w:panose1 w:val="03000509000000000000"/>
    <w:charset w:val="86"/>
    <w:family w:val="auto"/>
    <w:pitch w:val="default"/>
    <w:sig w:usb0="00000000" w:usb1="00000000" w:usb2="00000000" w:usb3="00000000" w:csb0="00040000" w:csb1="00000000"/>
  </w:font>
  <w:font w:name="方正平和繁体">
    <w:altName w:val="宋体"/>
    <w:panose1 w:val="03000509000000000000"/>
    <w:charset w:val="86"/>
    <w:family w:val="auto"/>
    <w:pitch w:val="default"/>
    <w:sig w:usb0="00000000" w:usb1="00000000" w:usb2="00000000" w:usb3="00000000" w:csb0="00040000" w:csb1="00000000"/>
  </w:font>
  <w:font w:name="方正平黑繁体">
    <w:altName w:val="黑体"/>
    <w:panose1 w:val="02010601030101010101"/>
    <w:charset w:val="86"/>
    <w:family w:val="auto"/>
    <w:pitch w:val="default"/>
    <w:sig w:usb0="00000000" w:usb1="00000000" w:usb2="00000000" w:usb3="00000000" w:csb0="00040000" w:csb1="00000000"/>
  </w:font>
  <w:font w:name="方正幼线简体">
    <w:altName w:val="宋体"/>
    <w:panose1 w:val="03000509000000000000"/>
    <w:charset w:val="86"/>
    <w:family w:val="auto"/>
    <w:pitch w:val="default"/>
    <w:sig w:usb0="00000000" w:usb1="00000000" w:usb2="00000000" w:usb3="00000000" w:csb0="00040000" w:csb1="00000000"/>
  </w:font>
  <w:font w:name="方正康体简体">
    <w:altName w:val="宋体"/>
    <w:panose1 w:val="02010601030101010101"/>
    <w:charset w:val="86"/>
    <w:family w:val="auto"/>
    <w:pitch w:val="default"/>
    <w:sig w:usb0="00000000" w:usb1="00000000" w:usb2="00000000" w:usb3="00000000" w:csb0="00040000" w:csb1="00000000"/>
  </w:font>
  <w:font w:name="方正康体繁体">
    <w:altName w:val="宋体"/>
    <w:panose1 w:val="02010601030101010101"/>
    <w:charset w:val="86"/>
    <w:family w:val="auto"/>
    <w:pitch w:val="default"/>
    <w:sig w:usb0="00000000" w:usb1="00000000" w:usb2="00000000" w:usb3="00000000" w:csb0="00040000" w:csb1="00000000"/>
  </w:font>
  <w:font w:name="方正彩云繁体">
    <w:altName w:val="宋体"/>
    <w:panose1 w:val="03000509000000000000"/>
    <w:charset w:val="86"/>
    <w:family w:val="auto"/>
    <w:pitch w:val="default"/>
    <w:sig w:usb0="00000000" w:usb1="00000000" w:usb2="00000000" w:usb3="00000000" w:csb0="00040000" w:csb1="00000000"/>
  </w:font>
  <w:font w:name="方正报宋繁体">
    <w:altName w:val="宋体"/>
    <w:panose1 w:val="02010601030101010101"/>
    <w:charset w:val="86"/>
    <w:family w:val="auto"/>
    <w:pitch w:val="default"/>
    <w:sig w:usb0="00000000" w:usb1="00000000" w:usb2="00000000" w:usb3="00000000" w:csb0="00040000" w:csb1="00000000"/>
  </w:font>
  <w:font w:name="方正新报宋简体">
    <w:altName w:val="Arial Unicode MS"/>
    <w:panose1 w:val="02010601030101010101"/>
    <w:charset w:val="86"/>
    <w:family w:val="auto"/>
    <w:pitch w:val="default"/>
    <w:sig w:usb0="00000000" w:usb1="00000000" w:usb2="00000000" w:usb3="00000000" w:csb0="00040000" w:csb1="00000000"/>
  </w:font>
  <w:font w:name="方正新秀丽繁体">
    <w:altName w:val="宋体"/>
    <w:panose1 w:val="02010601030101010101"/>
    <w:charset w:val="86"/>
    <w:family w:val="auto"/>
    <w:pitch w:val="default"/>
    <w:sig w:usb0="00000000" w:usb1="00000000" w:usb2="00000000" w:usb3="00000000" w:csb0="00040000" w:csb1="00000000"/>
  </w:font>
  <w:font w:name="方正新舒体繁体">
    <w:altName w:val="宋体"/>
    <w:panose1 w:val="03000509000000000000"/>
    <w:charset w:val="86"/>
    <w:family w:val="auto"/>
    <w:pitch w:val="default"/>
    <w:sig w:usb0="00000000" w:usb1="00000000" w:usb2="00000000" w:usb3="00000000" w:csb0="00040000" w:csb1="00000000"/>
  </w:font>
  <w:font w:name="方正毡笔黑繁体">
    <w:altName w:val="黑体"/>
    <w:panose1 w:val="03000509000000000000"/>
    <w:charset w:val="86"/>
    <w:family w:val="auto"/>
    <w:pitch w:val="default"/>
    <w:sig w:usb0="00000000" w:usb1="00000000" w:usb2="00000000" w:usb3="00000000" w:csb0="00040000" w:csb1="00000000"/>
  </w:font>
  <w:font w:name="方正水柱繁体">
    <w:altName w:val="Arial Unicode MS"/>
    <w:panose1 w:val="03000509000000000000"/>
    <w:charset w:val="86"/>
    <w:family w:val="auto"/>
    <w:pitch w:val="default"/>
    <w:sig w:usb0="00000000" w:usb1="00000000" w:usb2="00000000" w:usb3="00000000" w:csb0="00040000" w:csb1="00000000"/>
  </w:font>
  <w:font w:name="方正水黑繁体">
    <w:altName w:val="黑体"/>
    <w:panose1 w:val="03000509000000000000"/>
    <w:charset w:val="86"/>
    <w:family w:val="auto"/>
    <w:pitch w:val="default"/>
    <w:sig w:usb0="00000000" w:usb1="00000000" w:usb2="00000000" w:usb3="00000000" w:csb0="00040000" w:csb1="00000000"/>
  </w:font>
  <w:font w:name="方正流行体简体">
    <w:altName w:val="宋体"/>
    <w:panose1 w:val="03000509000000000000"/>
    <w:charset w:val="86"/>
    <w:family w:val="auto"/>
    <w:pitch w:val="default"/>
    <w:sig w:usb0="00000000" w:usb1="00000000" w:usb2="00000000" w:usb3="00000000" w:csb0="00040000" w:csb1="00000000"/>
  </w:font>
  <w:font w:name="方正流行体繁体">
    <w:altName w:val="宋体"/>
    <w:panose1 w:val="03000509000000000000"/>
    <w:charset w:val="86"/>
    <w:family w:val="auto"/>
    <w:pitch w:val="default"/>
    <w:sig w:usb0="00000000" w:usb1="00000000" w:usb2="00000000" w:usb3="00000000" w:csb0="00040000" w:csb1="00000000"/>
  </w:font>
  <w:font w:name="方正瘦金书简体">
    <w:altName w:val="宋体"/>
    <w:panose1 w:val="03000509000000000000"/>
    <w:charset w:val="86"/>
    <w:family w:val="auto"/>
    <w:pitch w:val="default"/>
    <w:sig w:usb0="00000000" w:usb1="00000000" w:usb2="00000000" w:usb3="00000000" w:csb0="00040000" w:csb1="00000000"/>
  </w:font>
  <w:font w:name="方正硬笔楷书简体">
    <w:altName w:val="宋体"/>
    <w:panose1 w:val="03000509000000000000"/>
    <w:charset w:val="86"/>
    <w:family w:val="auto"/>
    <w:pitch w:val="default"/>
    <w:sig w:usb0="00000000" w:usb1="00000000" w:usb2="00000000" w:usb3="00000000" w:csb0="00040000" w:csb1="00000000"/>
  </w:font>
  <w:font w:name="方正硬笔行书简体">
    <w:altName w:val="宋体"/>
    <w:panose1 w:val="03000509000000000000"/>
    <w:charset w:val="86"/>
    <w:family w:val="auto"/>
    <w:pitch w:val="default"/>
    <w:sig w:usb0="00000000" w:usb1="00000000" w:usb2="00000000" w:usb3="00000000" w:csb0="00040000" w:csb1="00000000"/>
  </w:font>
  <w:font w:name="方正稚艺简体">
    <w:altName w:val="宋体"/>
    <w:panose1 w:val="03000509000000000000"/>
    <w:charset w:val="86"/>
    <w:family w:val="auto"/>
    <w:pitch w:val="default"/>
    <w:sig w:usb0="00000000" w:usb1="00000000" w:usb2="00000000" w:usb3="00000000" w:csb0="00040000" w:csb1="00000000"/>
  </w:font>
  <w:font w:name="方正粗倩繁体">
    <w:altName w:val="宋体"/>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稚艺繁体">
    <w:altName w:val="宋体"/>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硬笔行书繁体">
    <w:altName w:val="宋体"/>
    <w:panose1 w:val="03000509000000000000"/>
    <w:charset w:val="86"/>
    <w:family w:val="auto"/>
    <w:pitch w:val="default"/>
    <w:sig w:usb0="00000000" w:usb1="00000000" w:usb2="00000000" w:usb3="00000000" w:csb0="00040000" w:csb1="00000000"/>
  </w:font>
  <w:font w:name="方正细等线简体">
    <w:altName w:val="宋体"/>
    <w:panose1 w:val="02010601030101010101"/>
    <w:charset w:val="86"/>
    <w:family w:val="auto"/>
    <w:pitch w:val="default"/>
    <w:sig w:usb0="00000000" w:usb1="00000000" w:usb2="00000000" w:usb3="00000000" w:csb0="00040000" w:csb1="00000000"/>
  </w:font>
  <w:font w:name="方正综艺繁体">
    <w:altName w:val="宋体"/>
    <w:panose1 w:val="02010601030101010101"/>
    <w:charset w:val="86"/>
    <w:family w:val="auto"/>
    <w:pitch w:val="default"/>
    <w:sig w:usb0="00000000" w:usb1="00000000" w:usb2="00000000" w:usb3="00000000" w:csb0="00040000" w:csb1="00000000"/>
  </w:font>
  <w:font w:name="方正胖娃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艺黑简体">
    <w:altName w:val="黑体"/>
    <w:panose1 w:val="03000509000000000000"/>
    <w:charset w:val="86"/>
    <w:family w:val="auto"/>
    <w:pitch w:val="default"/>
    <w:sig w:usb0="00000000" w:usb1="00000000" w:usb2="00000000" w:usb3="00000000" w:csb0="00040000" w:csb1="00000000"/>
  </w:font>
  <w:font w:name="方正行楷简体">
    <w:altName w:val="Arial Unicode MS"/>
    <w:panose1 w:val="02010601030101010101"/>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二简体">
    <w:altName w:val="隶书"/>
    <w:panose1 w:val="02010601030101010101"/>
    <w:charset w:val="86"/>
    <w:family w:val="auto"/>
    <w:pitch w:val="default"/>
    <w:sig w:usb0="00000000" w:usb1="00000000" w:usb2="00000000" w:usb3="00000000" w:csb0="00040000" w:csb1="00000000"/>
  </w:font>
  <w:font w:name="方正隶变简体">
    <w:altName w:val="隶书"/>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繁体">
    <w:altName w:val="黑体"/>
    <w:panose1 w:val="02010601030101010101"/>
    <w:charset w:val="86"/>
    <w:family w:val="auto"/>
    <w:pitch w:val="default"/>
    <w:sig w:usb0="00000000" w:usb1="00000000" w:usb2="00000000" w:usb3="00000000" w:csb0="00040000" w:csb1="00000000"/>
  </w:font>
  <w:font w:name="方正黑体简体">
    <w:altName w:val="Arial Unicode MS"/>
    <w:panose1 w:val="02010601030101010101"/>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黄草简体">
    <w:altName w:val="宋体"/>
    <w:panose1 w:val="03000509000000000000"/>
    <w:charset w:val="86"/>
    <w:family w:val="auto"/>
    <w:pitch w:val="default"/>
    <w:sig w:usb0="00000000" w:usb1="00000000" w:usb2="00000000" w:usb3="00000000" w:csb0="00040000" w:csb1="00000000"/>
  </w:font>
  <w:font w:name="隶书">
    <w:panose1 w:val="02010509060101010101"/>
    <w:charset w:val="86"/>
    <w:family w:val="auto"/>
    <w:pitch w:val="default"/>
    <w:sig w:usb0="00000001" w:usb1="080E0000" w:usb2="00000000" w:usb3="00000000" w:csb0="00040000" w:csb1="00000000"/>
  </w:font>
  <w:font w:name="Dotum">
    <w:panose1 w:val="020B0600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eiryo">
    <w:panose1 w:val="020B0604030504040204"/>
    <w:charset w:val="80"/>
    <w:family w:val="auto"/>
    <w:pitch w:val="default"/>
    <w:sig w:usb0="E10102FF" w:usb1="EAC7FFFF" w:usb2="00010012" w:usb3="00000000" w:csb0="6002009F" w:csb1="DFD7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MingLiU">
    <w:panose1 w:val="02020509000000000000"/>
    <w:charset w:val="88"/>
    <w:family w:val="auto"/>
    <w:pitch w:val="default"/>
    <w:sig w:usb0="A00002FF" w:usb1="28CFFCFA" w:usb2="00000016" w:usb3="00000000" w:csb0="00100001" w:csb1="00000000"/>
  </w:font>
  <w:font w:name="MingLiU_HKSCS">
    <w:panose1 w:val="02020500000000000000"/>
    <w:charset w:val="88"/>
    <w:family w:val="auto"/>
    <w:pitch w:val="default"/>
    <w:sig w:usb0="A00002FF" w:usb1="3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中倩简体">
    <w:altName w:val="宋体"/>
    <w:panose1 w:val="03000509000000000000"/>
    <w:charset w:val="86"/>
    <w:family w:val="auto"/>
    <w:pitch w:val="default"/>
    <w:sig w:usb0="00000000" w:usb1="00000000" w:usb2="00000000" w:usb3="00000000" w:csb0="00040000" w:csb1="00000000"/>
  </w:font>
  <w:font w:name="方正中倩繁体">
    <w:altName w:val="宋体"/>
    <w:panose1 w:val="03000509000000000000"/>
    <w:charset w:val="86"/>
    <w:family w:val="auto"/>
    <w:pitch w:val="default"/>
    <w:sig w:usb0="00000000" w:usb1="00000000" w:usb2="00000000" w:usb3="00000000" w:csb0="00040000" w:csb1="00000000"/>
  </w:font>
  <w:font w:name="方正中楷繁体">
    <w:altName w:val="宋体"/>
    <w:panose1 w:val="02010601030101010101"/>
    <w:charset w:val="86"/>
    <w:family w:val="auto"/>
    <w:pitch w:val="default"/>
    <w:sig w:usb0="00000000" w:usb1="00000000" w:usb2="00000000" w:usb3="00000000" w:csb0="00040000" w:csb1="00000000"/>
  </w:font>
  <w:font w:name="方正中等线简体">
    <w:altName w:val="宋体"/>
    <w:panose1 w:val="02010601030101010101"/>
    <w:charset w:val="86"/>
    <w:family w:val="auto"/>
    <w:pitch w:val="default"/>
    <w:sig w:usb0="00000000" w:usb1="00000000" w:usb2="00000000" w:usb3="00000000" w:csb0="00040000" w:csb1="00000000"/>
  </w:font>
  <w:font w:name="方正中等线繁体">
    <w:altName w:val="宋体"/>
    <w:panose1 w:val="03000509000000000000"/>
    <w:charset w:val="86"/>
    <w:family w:val="auto"/>
    <w:pitch w:val="default"/>
    <w:sig w:usb0="00000000" w:usb1="00000000" w:usb2="00000000" w:usb3="00000000" w:csb0="00040000" w:csb1="00000000"/>
  </w:font>
  <w:font w:name="方正书宋简体">
    <w:altName w:val="宋体"/>
    <w:panose1 w:val="02010601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书宋繁体">
    <w:altName w:val="宋体"/>
    <w:panose1 w:val="02010601030101010101"/>
    <w:charset w:val="86"/>
    <w:family w:val="auto"/>
    <w:pitch w:val="default"/>
    <w:sig w:usb0="00000000" w:usb1="00000000" w:usb2="00000000" w:usb3="00000000" w:csb0="00040000" w:csb1="00000000"/>
  </w:font>
  <w:font w:name="方正仿宋简体">
    <w:altName w:val="Arial Unicode MS"/>
    <w:panose1 w:val="02010601030101010101"/>
    <w:charset w:val="86"/>
    <w:family w:val="auto"/>
    <w:pitch w:val="default"/>
    <w:sig w:usb0="00000000" w:usb1="00000000" w:usb2="00000000" w:usb3="00000000" w:csb0="00040000" w:csb1="00000000"/>
  </w:font>
  <w:font w:name="方正姚体简体">
    <w:altName w:val="宋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大黑简体">
    <w:altName w:val="黑体"/>
    <w:panose1 w:val="02010601030101010101"/>
    <w:charset w:val="86"/>
    <w:family w:val="auto"/>
    <w:pitch w:val="default"/>
    <w:sig w:usb0="00000000" w:usb1="00000000" w:usb2="00000000" w:usb3="00000000" w:csb0="00040000" w:csb1="00000000"/>
  </w:font>
  <w:font w:name="方正大标宋繁体">
    <w:altName w:val="宋体"/>
    <w:panose1 w:val="02010601030101010101"/>
    <w:charset w:val="86"/>
    <w:family w:val="auto"/>
    <w:pitch w:val="default"/>
    <w:sig w:usb0="00000000" w:usb1="00000000" w:usb2="00000000" w:usb3="00000000" w:csb0="00040000" w:csb1="00000000"/>
  </w:font>
  <w:font w:name="方正大标宋简体">
    <w:altName w:val="Arial Unicode MS"/>
    <w:panose1 w:val="02010601030101010101"/>
    <w:charset w:val="86"/>
    <w:family w:val="auto"/>
    <w:pitch w:val="default"/>
    <w:sig w:usb0="00000000" w:usb1="00000000" w:usb2="00000000" w:usb3="00000000" w:csb0="00040000" w:csb1="00000000"/>
  </w:font>
  <w:font w:name="方正姚体繁体">
    <w:altName w:val="宋体"/>
    <w:panose1 w:val="03000509000000000000"/>
    <w:charset w:val="86"/>
    <w:family w:val="auto"/>
    <w:pitch w:val="default"/>
    <w:sig w:usb0="00000000" w:usb1="00000000" w:usb2="00000000" w:usb3="00000000" w:csb0="00040000" w:csb1="00000000"/>
  </w:font>
  <w:font w:name="方正幼线繁体">
    <w:altName w:val="宋体"/>
    <w:panose1 w:val="02010601030101010101"/>
    <w:charset w:val="86"/>
    <w:family w:val="auto"/>
    <w:pitch w:val="default"/>
    <w:sig w:usb0="00000000" w:usb1="00000000" w:usb2="00000000" w:usb3="00000000" w:csb0="00040000" w:csb1="00000000"/>
  </w:font>
  <w:font w:name="方正彩云简体">
    <w:altName w:val="宋体"/>
    <w:panose1 w:val="03000509000000000000"/>
    <w:charset w:val="86"/>
    <w:family w:val="auto"/>
    <w:pitch w:val="default"/>
    <w:sig w:usb0="00000000" w:usb1="00000000" w:usb2="00000000" w:usb3="00000000" w:csb0="00040000" w:csb1="00000000"/>
  </w:font>
  <w:font w:name="方正新舒体简体">
    <w:altName w:val="宋体"/>
    <w:panose1 w:val="02010601030101010101"/>
    <w:charset w:val="86"/>
    <w:family w:val="auto"/>
    <w:pitch w:val="default"/>
    <w:sig w:usb0="00000000" w:usb1="00000000" w:usb2="00000000" w:usb3="00000000" w:csb0="00040000" w:csb1="00000000"/>
  </w:font>
  <w:font w:name="方正楷体简体">
    <w:altName w:val="宋体"/>
    <w:panose1 w:val="02010601030101010101"/>
    <w:charset w:val="86"/>
    <w:family w:val="auto"/>
    <w:pitch w:val="default"/>
    <w:sig w:usb0="00000000" w:usb1="00000000" w:usb2="00000000" w:usb3="00000000" w:csb0="00040000" w:csb1="00000000"/>
  </w:font>
  <w:font w:name="方正水柱简体">
    <w:altName w:val="Arial Unicode MS"/>
    <w:panose1 w:val="03000509000000000000"/>
    <w:charset w:val="86"/>
    <w:family w:val="auto"/>
    <w:pitch w:val="default"/>
    <w:sig w:usb0="00000000" w:usb1="00000000" w:usb2="00000000" w:usb3="00000000" w:csb0="00040000" w:csb1="00000000"/>
  </w:font>
  <w:font w:name="方正粗活意简体">
    <w:altName w:val="宋体"/>
    <w:panose1 w:val="03000509000000000000"/>
    <w:charset w:val="86"/>
    <w:family w:val="auto"/>
    <w:pitch w:val="default"/>
    <w:sig w:usb0="00000000" w:usb1="00000000" w:usb2="00000000" w:usb3="00000000" w:csb0="00040000" w:csb1="00000000"/>
  </w:font>
  <w:font w:name="方正细倩繁体">
    <w:altName w:val="宋体"/>
    <w:panose1 w:val="03000509000000000000"/>
    <w:charset w:val="86"/>
    <w:family w:val="auto"/>
    <w:pitch w:val="default"/>
    <w:sig w:usb0="00000000" w:usb1="00000000" w:usb2="00000000" w:usb3="00000000" w:csb0="00040000" w:csb1="00000000"/>
  </w:font>
  <w:font w:name="方正舒体繁体">
    <w:altName w:val="宋体"/>
    <w:panose1 w:val="02010601030101010101"/>
    <w:charset w:val="86"/>
    <w:family w:val="auto"/>
    <w:pitch w:val="default"/>
    <w:sig w:usb0="00000000" w:usb1="0000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楷体_GB2312">
    <w:altName w:val="楷体"/>
    <w:panose1 w:val="02010609030101010101"/>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创艺简黑体">
    <w:altName w:val="黑体"/>
    <w:panose1 w:val="00000000000000000000"/>
    <w:charset w:val="86"/>
    <w:family w:val="auto"/>
    <w:pitch w:val="default"/>
    <w:sig w:usb0="00000000" w:usb1="00000000" w:usb2="00000010" w:usb3="00000000" w:csb0="00040000" w:csb1="00000000"/>
  </w:font>
  <w:font w:name="font-weight : 400">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0B08B6"/>
    <w:multiLevelType w:val="singleLevel"/>
    <w:tmpl w:val="5E0B08B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E66EA"/>
    <w:rsid w:val="004013B5"/>
    <w:rsid w:val="02D61546"/>
    <w:rsid w:val="07263A68"/>
    <w:rsid w:val="0BAE127B"/>
    <w:rsid w:val="0C7D2B93"/>
    <w:rsid w:val="0E615D93"/>
    <w:rsid w:val="108321DE"/>
    <w:rsid w:val="13E83D88"/>
    <w:rsid w:val="1E0D796D"/>
    <w:rsid w:val="21394C38"/>
    <w:rsid w:val="267E66EA"/>
    <w:rsid w:val="27E23778"/>
    <w:rsid w:val="4CB8604D"/>
    <w:rsid w:val="55FF6F98"/>
    <w:rsid w:val="58005114"/>
    <w:rsid w:val="5904336B"/>
    <w:rsid w:val="63F45DEA"/>
    <w:rsid w:val="649A4E83"/>
    <w:rsid w:val="698105E9"/>
    <w:rsid w:val="6D273CDD"/>
    <w:rsid w:val="752C51A5"/>
    <w:rsid w:val="7D267DA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01"/>
    <w:basedOn w:val="4"/>
    <w:qFormat/>
    <w:uiPriority w:val="0"/>
    <w:rPr>
      <w:rFonts w:hint="eastAsia" w:ascii="宋体" w:hAnsi="宋体" w:eastAsia="宋体" w:cs="宋体"/>
      <w:color w:val="000000"/>
      <w:sz w:val="22"/>
      <w:szCs w:val="22"/>
      <w:u w:val="single"/>
    </w:rPr>
  </w:style>
  <w:style w:type="character" w:customStyle="1" w:styleId="7">
    <w:name w:val="font3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玉溪市教育局</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2017-06-19T09:20:00Z</dcterms:created>
  <dc:creator>Administrator</dc:creator>
  <cp:lastModifiedBy>xzzfg01</cp:lastModifiedBy>
  <cp:lastPrinted>2019-12-29T03:41:00Z</cp:lastPrinted>
  <dcterms:modified xsi:type="dcterms:W3CDTF">2020-02-24T07:39:28Z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docranid">
    <vt:lpwstr>50F6C196FDE541EC9C5D6ED3941D97DA</vt:lpwstr>
  </property>
</Properties>
</file>