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bookmarkStart w:id="0" w:name="_Toc30094_WPSOffice_Type2"/>
      <w:r>
        <w:rPr>
          <w:rFonts w:hint="eastAsia" w:ascii="方正小标宋简体" w:hAnsi="方正小标宋简体" w:eastAsia="方正小标宋简体" w:cs="方正小标宋简体"/>
          <w:kern w:val="40"/>
          <w:sz w:val="44"/>
          <w:szCs w:val="44"/>
        </w:rPr>
        <w:t>玉溪市中心城区“花城”景观建设市级补助资金</w:t>
      </w:r>
      <w:r>
        <w:rPr>
          <w:rFonts w:hint="eastAsia" w:ascii="方正小标宋简体" w:eastAsia="方正小标宋简体"/>
          <w:sz w:val="44"/>
          <w:szCs w:val="44"/>
        </w:rPr>
        <w:t>项目</w:t>
      </w:r>
    </w:p>
    <w:p>
      <w:pPr>
        <w:spacing w:line="590" w:lineRule="exact"/>
        <w:jc w:val="center"/>
        <w:rPr>
          <w:rFonts w:ascii="方正小标宋简体" w:hAnsi="宋体" w:eastAsia="方正小标宋简体"/>
          <w:color w:val="000000" w:themeColor="text1"/>
          <w:kern w:val="2"/>
          <w:sz w:val="44"/>
          <w:szCs w:val="44"/>
          <w14:textFill>
            <w14:solidFill>
              <w14:schemeClr w14:val="tx1"/>
            </w14:solidFill>
          </w14:textFill>
        </w:rPr>
      </w:pPr>
    </w:p>
    <w:p>
      <w:pPr>
        <w:jc w:val="center"/>
        <w:rPr>
          <w:rFonts w:ascii="方正小标宋简体" w:hAnsi="宋体" w:eastAsia="方正小标宋简体"/>
          <w:color w:val="000000" w:themeColor="text1"/>
          <w:kern w:val="2"/>
          <w:sz w:val="72"/>
          <w:szCs w:val="72"/>
          <w14:textFill>
            <w14:solidFill>
              <w14:schemeClr w14:val="tx1"/>
            </w14:solidFill>
          </w14:textFill>
        </w:rPr>
      </w:pPr>
    </w:p>
    <w:p>
      <w:pPr>
        <w:jc w:val="center"/>
        <w:rPr>
          <w:rFonts w:ascii="方正小标宋简体" w:hAnsi="宋体" w:eastAsia="方正小标宋简体"/>
          <w:color w:val="000000" w:themeColor="text1"/>
          <w:kern w:val="2"/>
          <w:sz w:val="72"/>
          <w:szCs w:val="72"/>
          <w14:textFill>
            <w14:solidFill>
              <w14:schemeClr w14:val="tx1"/>
            </w14:solidFill>
          </w14:textFill>
        </w:rPr>
      </w:pPr>
      <w:r>
        <w:rPr>
          <w:rFonts w:hint="eastAsia" w:ascii="方正小标宋简体" w:hAnsi="宋体" w:eastAsia="方正小标宋简体"/>
          <w:color w:val="000000" w:themeColor="text1"/>
          <w:kern w:val="2"/>
          <w:sz w:val="72"/>
          <w:szCs w:val="72"/>
          <w14:textFill>
            <w14:solidFill>
              <w14:schemeClr w14:val="tx1"/>
            </w14:solidFill>
          </w14:textFill>
        </w:rPr>
        <w:t>绩效再评价报告</w:t>
      </w: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spacing w:line="590" w:lineRule="exact"/>
        <w:jc w:val="left"/>
        <w:rPr>
          <w:rFonts w:ascii="方正小标宋简体" w:hAnsi="宋体" w:eastAsia="方正小标宋简体"/>
          <w:color w:val="000000" w:themeColor="text1"/>
          <w:kern w:val="2"/>
          <w:sz w:val="44"/>
          <w:szCs w:val="44"/>
          <w14:textFill>
            <w14:solidFill>
              <w14:schemeClr w14:val="tx1"/>
            </w14:solidFill>
          </w14:textFill>
        </w:rPr>
      </w:pPr>
    </w:p>
    <w:p>
      <w:pPr>
        <w:adjustRightInd w:val="0"/>
        <w:spacing w:line="590" w:lineRule="exact"/>
        <w:rPr>
          <w:rFonts w:ascii="黑体" w:hAnsi="宋体" w:eastAsia="黑体"/>
          <w:color w:val="000000" w:themeColor="text1"/>
          <w:kern w:val="2"/>
          <w:szCs w:val="30"/>
          <w14:textFill>
            <w14:solidFill>
              <w14:schemeClr w14:val="tx1"/>
            </w14:solidFill>
          </w14:textFill>
        </w:rPr>
      </w:pPr>
      <w:r>
        <w:rPr>
          <w:rFonts w:hint="eastAsia" w:ascii="黑体" w:hAnsi="宋体" w:eastAsia="黑体"/>
          <w:color w:val="000000" w:themeColor="text1"/>
          <w:kern w:val="2"/>
          <w:szCs w:val="30"/>
          <w14:textFill>
            <w14:solidFill>
              <w14:schemeClr w14:val="tx1"/>
            </w14:solidFill>
          </w14:textFill>
        </w:rPr>
        <w:t>委托单位名称：玉溪市财政局（章）</w:t>
      </w:r>
    </w:p>
    <w:p>
      <w:pPr>
        <w:adjustRightInd w:val="0"/>
        <w:spacing w:line="590" w:lineRule="exact"/>
        <w:rPr>
          <w:rFonts w:ascii="黑体" w:hAnsi="宋体" w:eastAsia="黑体"/>
          <w:color w:val="000000" w:themeColor="text1"/>
          <w:kern w:val="2"/>
          <w:szCs w:val="30"/>
          <w14:textFill>
            <w14:solidFill>
              <w14:schemeClr w14:val="tx1"/>
            </w14:solidFill>
          </w14:textFill>
        </w:rPr>
      </w:pPr>
    </w:p>
    <w:p>
      <w:pPr>
        <w:adjustRightInd w:val="0"/>
        <w:spacing w:line="590" w:lineRule="exact"/>
        <w:rPr>
          <w:rFonts w:ascii="黑体" w:hAnsi="宋体" w:eastAsia="黑体"/>
          <w:color w:val="000000" w:themeColor="text1"/>
          <w:kern w:val="2"/>
          <w:szCs w:val="30"/>
          <w14:textFill>
            <w14:solidFill>
              <w14:schemeClr w14:val="tx1"/>
            </w14:solidFill>
          </w14:textFill>
        </w:rPr>
      </w:pPr>
    </w:p>
    <w:p>
      <w:pPr>
        <w:spacing w:line="590" w:lineRule="exact"/>
        <w:ind w:left="2293" w:hanging="2286" w:hangingChars="726"/>
        <w:rPr>
          <w:rFonts w:eastAsia="黑体"/>
          <w:color w:val="000000" w:themeColor="text1"/>
          <w:kern w:val="2"/>
          <w:szCs w:val="30"/>
          <w14:textFill>
            <w14:solidFill>
              <w14:schemeClr w14:val="tx1"/>
            </w14:solidFill>
          </w14:textFill>
        </w:rPr>
      </w:pPr>
      <w:r>
        <w:rPr>
          <w:rFonts w:hint="eastAsia" w:ascii="黑体" w:hAnsi="宋体" w:eastAsia="黑体"/>
          <w:color w:val="000000" w:themeColor="text1"/>
          <w:kern w:val="2"/>
          <w:szCs w:val="30"/>
          <w14:textFill>
            <w14:solidFill>
              <w14:schemeClr w14:val="tx1"/>
            </w14:solidFill>
          </w14:textFill>
        </w:rPr>
        <w:t>评审机构名称：华昆工程管理咨询有限公司</w:t>
      </w:r>
      <w:r>
        <w:rPr>
          <w:rFonts w:hint="eastAsia" w:ascii="黑体" w:hAnsi="宋体" w:eastAsia="黑体"/>
          <w:kern w:val="2"/>
          <w:szCs w:val="30"/>
        </w:rPr>
        <w:t>（章）</w:t>
      </w:r>
    </w:p>
    <w:p>
      <w:pPr>
        <w:spacing w:line="590" w:lineRule="exact"/>
        <w:rPr>
          <w:rFonts w:eastAsia="黑体"/>
          <w:color w:val="000000" w:themeColor="text1"/>
          <w:kern w:val="2"/>
          <w:szCs w:val="30"/>
          <w14:textFill>
            <w14:solidFill>
              <w14:schemeClr w14:val="tx1"/>
            </w14:solidFill>
          </w14:textFill>
        </w:rPr>
      </w:pPr>
    </w:p>
    <w:p>
      <w:pPr>
        <w:autoSpaceDE w:val="0"/>
        <w:autoSpaceDN w:val="0"/>
        <w:adjustRightInd w:val="0"/>
        <w:spacing w:line="590" w:lineRule="exact"/>
        <w:rPr>
          <w:rFonts w:ascii="黑体" w:eastAsia="黑体" w:cs="黑体"/>
          <w:kern w:val="2"/>
          <w:szCs w:val="30"/>
        </w:rPr>
      </w:pPr>
      <w:r>
        <w:rPr>
          <w:rFonts w:hint="eastAsia" w:ascii="黑体" w:eastAsia="黑体" w:cs="黑体"/>
          <w:kern w:val="2"/>
          <w:szCs w:val="30"/>
          <w:lang w:val="zh-CN"/>
        </w:rPr>
        <w:t>报告编号：</w:t>
      </w:r>
      <w:r>
        <w:rPr>
          <w:rFonts w:hint="eastAsia" w:ascii="黑体" w:eastAsia="黑体" w:cs="黑体"/>
          <w:kern w:val="2"/>
          <w:szCs w:val="30"/>
        </w:rPr>
        <w:t>YXSCZJ2019008</w:t>
      </w:r>
    </w:p>
    <w:p>
      <w:pPr>
        <w:autoSpaceDE w:val="0"/>
        <w:autoSpaceDN w:val="0"/>
        <w:adjustRightInd w:val="0"/>
        <w:spacing w:line="590" w:lineRule="exact"/>
        <w:rPr>
          <w:rFonts w:ascii="黑体" w:eastAsia="黑体" w:cs="黑体"/>
          <w:kern w:val="2"/>
          <w:szCs w:val="30"/>
          <w:lang w:val="zh-CN"/>
        </w:rPr>
      </w:pPr>
      <w:r>
        <w:rPr>
          <w:rFonts w:hint="eastAsia" w:ascii="黑体" w:eastAsia="黑体" w:cs="黑体"/>
          <w:kern w:val="2"/>
          <w:szCs w:val="30"/>
          <w:lang w:val="zh-CN"/>
        </w:rPr>
        <w:t>项目评审起止时间</w:t>
      </w:r>
      <w:r>
        <w:rPr>
          <w:rFonts w:hint="eastAsia" w:ascii="黑体" w:hAnsi="黑体" w:eastAsia="黑体"/>
          <w:kern w:val="2"/>
          <w:szCs w:val="30"/>
        </w:rPr>
        <w:t>:201</w:t>
      </w:r>
      <w:r>
        <w:rPr>
          <w:rFonts w:ascii="黑体" w:hAnsi="黑体" w:eastAsia="黑体"/>
          <w:kern w:val="2"/>
          <w:szCs w:val="30"/>
        </w:rPr>
        <w:t>9年</w:t>
      </w:r>
      <w:r>
        <w:rPr>
          <w:rFonts w:hint="eastAsia" w:ascii="黑体" w:hAnsi="黑体" w:eastAsia="黑体"/>
          <w:kern w:val="2"/>
          <w:szCs w:val="30"/>
        </w:rPr>
        <w:t>7月6</w:t>
      </w:r>
      <w:r>
        <w:rPr>
          <w:rFonts w:ascii="黑体" w:hAnsi="黑体" w:eastAsia="黑体"/>
          <w:kern w:val="2"/>
          <w:szCs w:val="30"/>
        </w:rPr>
        <w:t>日</w:t>
      </w:r>
      <w:r>
        <w:rPr>
          <w:rFonts w:hint="eastAsia" w:ascii="黑体" w:hAnsi="黑体" w:eastAsia="黑体"/>
          <w:kern w:val="2"/>
          <w:szCs w:val="30"/>
        </w:rPr>
        <w:t>至201</w:t>
      </w:r>
      <w:r>
        <w:rPr>
          <w:rFonts w:ascii="黑体" w:hAnsi="黑体" w:eastAsia="黑体"/>
          <w:kern w:val="2"/>
          <w:szCs w:val="30"/>
        </w:rPr>
        <w:t>9年</w:t>
      </w:r>
      <w:r>
        <w:rPr>
          <w:rFonts w:hint="eastAsia" w:ascii="黑体" w:hAnsi="黑体" w:eastAsia="黑体"/>
          <w:kern w:val="2"/>
          <w:szCs w:val="30"/>
        </w:rPr>
        <w:t>9</w:t>
      </w:r>
      <w:r>
        <w:rPr>
          <w:rFonts w:ascii="黑体" w:hAnsi="黑体" w:eastAsia="黑体"/>
          <w:kern w:val="2"/>
          <w:szCs w:val="30"/>
        </w:rPr>
        <w:t>月</w:t>
      </w:r>
      <w:r>
        <w:rPr>
          <w:rFonts w:hint="eastAsia" w:ascii="黑体" w:hAnsi="黑体" w:eastAsia="黑体"/>
          <w:kern w:val="2"/>
          <w:szCs w:val="30"/>
        </w:rPr>
        <w:t>30</w:t>
      </w:r>
      <w:r>
        <w:rPr>
          <w:rFonts w:ascii="黑体" w:hAnsi="黑体" w:eastAsia="黑体"/>
          <w:kern w:val="2"/>
          <w:szCs w:val="30"/>
        </w:rPr>
        <w:t>日</w:t>
      </w:r>
    </w:p>
    <w:p>
      <w:pPr>
        <w:autoSpaceDE w:val="0"/>
        <w:autoSpaceDN w:val="0"/>
        <w:adjustRightInd w:val="0"/>
        <w:spacing w:line="590" w:lineRule="exact"/>
        <w:rPr>
          <w:rFonts w:ascii="宋体" w:hAnsi="宋体" w:eastAsia="宋体"/>
          <w:sz w:val="21"/>
        </w:rPr>
        <w:sectPr>
          <w:pgSz w:w="11906" w:h="16838"/>
          <w:pgMar w:top="2098" w:right="1474" w:bottom="1985" w:left="1588" w:header="851" w:footer="1474" w:gutter="0"/>
          <w:pgNumType w:fmt="lowerRoman" w:start="1"/>
          <w:cols w:space="425" w:num="1"/>
          <w:docGrid w:type="linesAndChars" w:linePitch="579" w:charSpace="3247"/>
        </w:sectPr>
      </w:pPr>
      <w:r>
        <w:rPr>
          <w:rFonts w:hint="eastAsia" w:ascii="黑体" w:eastAsia="黑体" w:cs="黑体"/>
          <w:kern w:val="2"/>
          <w:szCs w:val="30"/>
          <w:lang w:val="zh-CN"/>
        </w:rPr>
        <w:t>评审报告出具时间:</w:t>
      </w:r>
    </w:p>
    <w:bookmarkEnd w:id="0"/>
    <w:p>
      <w:pPr>
        <w:spacing w:line="579" w:lineRule="exact"/>
        <w:rPr>
          <w:rFonts w:ascii="方正小标宋简体" w:eastAsia="方正小标宋简体"/>
          <w:sz w:val="44"/>
          <w:szCs w:val="44"/>
        </w:rPr>
      </w:pPr>
    </w:p>
    <w:sdt>
      <w:sdtPr>
        <w:rPr>
          <w:rFonts w:hint="eastAsia" w:ascii="宋体" w:hAnsi="宋体" w:eastAsia="宋体" w:cs="宋体"/>
          <w:sz w:val="24"/>
          <w:szCs w:val="24"/>
        </w:rPr>
        <w:id w:val="-475763102"/>
        <w15:color w:val="DBDBDB"/>
        <w:docPartObj>
          <w:docPartGallery w:val="Table of Contents"/>
          <w:docPartUnique/>
        </w:docPartObj>
      </w:sdtPr>
      <w:sdtEndPr>
        <w:rPr>
          <w:rFonts w:hint="eastAsia" w:asciiTheme="minorHAnsi" w:hAnsiTheme="minorHAnsi" w:eastAsiaTheme="minorEastAsia" w:cstheme="minorBidi"/>
          <w:b/>
          <w:bCs/>
          <w:sz w:val="24"/>
          <w:szCs w:val="24"/>
        </w:rPr>
      </w:sdtEndPr>
      <w:sdtContent>
        <w:p>
          <w:pPr>
            <w:adjustRightInd w:val="0"/>
            <w:snapToGrid w:val="0"/>
            <w:jc w:val="center"/>
            <w:rPr>
              <w:rFonts w:ascii="宋体" w:hAnsi="宋体" w:eastAsia="宋体" w:cs="宋体"/>
              <w:sz w:val="24"/>
              <w:szCs w:val="24"/>
            </w:rPr>
          </w:pPr>
          <w:bookmarkStart w:id="1" w:name="_Toc13775_WPSOffice_Type2"/>
          <w:r>
            <w:rPr>
              <w:rFonts w:hint="eastAsia" w:ascii="宋体" w:hAnsi="宋体" w:eastAsia="宋体" w:cs="宋体"/>
              <w:b/>
              <w:bCs/>
              <w:sz w:val="36"/>
              <w:szCs w:val="36"/>
            </w:rPr>
            <w:t>目 录</w:t>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"_Toc16233_WPSOffice_Level1" </w:instrText>
          </w:r>
          <w:r>
            <w:fldChar w:fldCharType="separate"/>
          </w:r>
          <w:sdt>
            <w:sdtPr>
              <w:rPr>
                <w:rFonts w:hint="eastAsia" w:ascii="宋体" w:hAnsi="宋体" w:eastAsia="宋体" w:cs="宋体"/>
                <w:b/>
                <w:bCs/>
                <w:kern w:val="30"/>
                <w:sz w:val="24"/>
                <w:szCs w:val="24"/>
              </w:rPr>
              <w:id w:val="147457030"/>
              <w:placeholder>
                <w:docPart w:val="{15afd627-8d25-43c0-8dea-e539c72e2402}"/>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摘 要</w:t>
              </w:r>
            </w:sdtContent>
          </w:sdt>
          <w:r>
            <w:rPr>
              <w:rFonts w:hint="eastAsia" w:ascii="宋体" w:hAnsi="宋体" w:eastAsia="宋体" w:cs="宋体"/>
              <w:b/>
              <w:bCs/>
              <w:sz w:val="24"/>
              <w:szCs w:val="24"/>
            </w:rPr>
            <w:tab/>
          </w:r>
          <w:bookmarkStart w:id="2" w:name="_Toc16233_WPSOffice_Level1Page"/>
          <w:r>
            <w:rPr>
              <w:rFonts w:hint="eastAsia" w:ascii="宋体" w:hAnsi="宋体" w:eastAsia="宋体" w:cs="宋体"/>
              <w:b/>
              <w:bCs/>
              <w:sz w:val="24"/>
              <w:szCs w:val="24"/>
            </w:rPr>
            <w:t>1</w:t>
          </w:r>
          <w:bookmarkEnd w:id="2"/>
          <w:r>
            <w:rPr>
              <w:rFonts w:hint="eastAsia" w:ascii="宋体" w:hAnsi="宋体" w:eastAsia="宋体" w:cs="宋体"/>
              <w:b/>
              <w:bCs/>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"_Toc28643_WPSOffice_Level1" </w:instrText>
          </w:r>
          <w:r>
            <w:fldChar w:fldCharType="separate"/>
          </w:r>
          <w:sdt>
            <w:sdtPr>
              <w:rPr>
                <w:rFonts w:hint="eastAsia" w:ascii="宋体" w:hAnsi="宋体" w:eastAsia="宋体" w:cs="宋体"/>
                <w:b/>
                <w:bCs/>
                <w:kern w:val="30"/>
                <w:sz w:val="24"/>
                <w:szCs w:val="24"/>
              </w:rPr>
              <w:id w:val="-1810234465"/>
              <w:placeholder>
                <w:docPart w:val="{f2f1c57b-ed1f-44cd-8941-4b80c6ea5bb9}"/>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一、基本情况</w:t>
              </w:r>
            </w:sdtContent>
          </w:sdt>
          <w:r>
            <w:rPr>
              <w:rFonts w:hint="eastAsia" w:ascii="宋体" w:hAnsi="宋体" w:eastAsia="宋体" w:cs="宋体"/>
              <w:b/>
              <w:bCs/>
              <w:sz w:val="24"/>
              <w:szCs w:val="24"/>
            </w:rPr>
            <w:tab/>
          </w:r>
          <w:bookmarkStart w:id="3" w:name="_Toc28643_WPSOffice_Level1Page"/>
          <w:r>
            <w:rPr>
              <w:rFonts w:hint="eastAsia" w:ascii="宋体" w:hAnsi="宋体" w:eastAsia="宋体" w:cs="宋体"/>
              <w:b/>
              <w:bCs/>
              <w:sz w:val="24"/>
              <w:szCs w:val="24"/>
            </w:rPr>
            <w:t>1</w:t>
          </w:r>
          <w:bookmarkEnd w:id="3"/>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"_Toc2508_WPSOffice_Level2" </w:instrText>
          </w:r>
          <w:r>
            <w:fldChar w:fldCharType="separate"/>
          </w:r>
          <w:sdt>
            <w:sdtPr>
              <w:rPr>
                <w:rFonts w:hint="eastAsia" w:ascii="宋体" w:hAnsi="宋体" w:eastAsia="宋体" w:cs="宋体"/>
                <w:kern w:val="30"/>
                <w:sz w:val="24"/>
                <w:szCs w:val="24"/>
              </w:rPr>
              <w:id w:val="648402670"/>
              <w:placeholder>
                <w:docPart w:val="{47785d5a-4584-424f-9d37-a6816cabc2a0}"/>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（一）项目设立背景</w:t>
              </w:r>
            </w:sdtContent>
          </w:sdt>
          <w:r>
            <w:rPr>
              <w:rFonts w:hint="eastAsia" w:ascii="宋体" w:hAnsi="宋体" w:eastAsia="宋体" w:cs="宋体"/>
              <w:sz w:val="24"/>
              <w:szCs w:val="24"/>
            </w:rPr>
            <w:tab/>
          </w:r>
          <w:bookmarkStart w:id="4" w:name="_Toc2508_WPSOffice_Level2Page"/>
          <w:r>
            <w:rPr>
              <w:rFonts w:hint="eastAsia" w:ascii="宋体" w:hAnsi="宋体" w:eastAsia="宋体" w:cs="宋体"/>
              <w:sz w:val="24"/>
              <w:szCs w:val="24"/>
            </w:rPr>
            <w:t>1</w:t>
          </w:r>
          <w:bookmarkEnd w:id="4"/>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"_Toc32078_WPSOffice_Level2" </w:instrText>
          </w:r>
          <w:r>
            <w:fldChar w:fldCharType="separate"/>
          </w:r>
          <w:sdt>
            <w:sdtPr>
              <w:rPr>
                <w:rFonts w:hint="eastAsia" w:ascii="宋体" w:hAnsi="宋体" w:eastAsia="宋体" w:cs="宋体"/>
                <w:kern w:val="30"/>
                <w:sz w:val="24"/>
                <w:szCs w:val="24"/>
              </w:rPr>
              <w:id w:val="-905610796"/>
              <w:placeholder>
                <w:docPart w:val="{22ccd137-696a-4846-b958-4189e877252c}"/>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（二）项目目的、依据</w:t>
              </w:r>
            </w:sdtContent>
          </w:sdt>
          <w:r>
            <w:rPr>
              <w:rFonts w:hint="eastAsia" w:ascii="宋体" w:hAnsi="宋体" w:eastAsia="宋体" w:cs="宋体"/>
              <w:sz w:val="24"/>
              <w:szCs w:val="24"/>
            </w:rPr>
            <w:tab/>
          </w:r>
          <w:bookmarkStart w:id="5" w:name="_Toc32078_WPSOffice_Level2Page"/>
          <w:r>
            <w:rPr>
              <w:rFonts w:hint="eastAsia" w:ascii="宋体" w:hAnsi="宋体" w:eastAsia="宋体" w:cs="宋体"/>
              <w:sz w:val="24"/>
              <w:szCs w:val="24"/>
            </w:rPr>
            <w:t>1</w:t>
          </w:r>
          <w:bookmarkEnd w:id="5"/>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"_Toc29239_WPSOffice_Level2" </w:instrText>
          </w:r>
          <w:r>
            <w:fldChar w:fldCharType="separate"/>
          </w:r>
          <w:sdt>
            <w:sdtPr>
              <w:rPr>
                <w:rFonts w:hint="eastAsia" w:ascii="宋体" w:hAnsi="宋体" w:eastAsia="宋体" w:cs="宋体"/>
                <w:kern w:val="30"/>
                <w:sz w:val="24"/>
                <w:szCs w:val="24"/>
              </w:rPr>
              <w:id w:val="540100776"/>
              <w:placeholder>
                <w:docPart w:val="{72780a9f-3700-4d44-a92f-fe3174f6aeb0}"/>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（三）资金安排情况及使用情况</w:t>
              </w:r>
            </w:sdtContent>
          </w:sdt>
          <w:r>
            <w:rPr>
              <w:rFonts w:hint="eastAsia" w:ascii="宋体" w:hAnsi="宋体" w:eastAsia="宋体" w:cs="宋体"/>
              <w:sz w:val="24"/>
              <w:szCs w:val="24"/>
            </w:rPr>
            <w:tab/>
          </w:r>
          <w:bookmarkStart w:id="6" w:name="_Toc29239_WPSOffice_Level2Page"/>
          <w:r>
            <w:rPr>
              <w:rFonts w:hint="eastAsia" w:ascii="宋体" w:hAnsi="宋体" w:eastAsia="宋体" w:cs="宋体"/>
              <w:sz w:val="24"/>
              <w:szCs w:val="24"/>
            </w:rPr>
            <w:t>2</w:t>
          </w:r>
          <w:bookmarkEnd w:id="6"/>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"_Toc25243_WPSOffice_Level2" </w:instrText>
          </w:r>
          <w:r>
            <w:fldChar w:fldCharType="separate"/>
          </w:r>
          <w:sdt>
            <w:sdtPr>
              <w:rPr>
                <w:rFonts w:hint="eastAsia" w:ascii="宋体" w:hAnsi="宋体" w:eastAsia="宋体" w:cs="宋体"/>
                <w:kern w:val="30"/>
                <w:sz w:val="24"/>
                <w:szCs w:val="24"/>
              </w:rPr>
              <w:id w:val="-1672566303"/>
              <w:placeholder>
                <w:docPart w:val="{5d2ecc4d-9735-403d-be08-f5018db6ddda}"/>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（四）实施内容</w:t>
              </w:r>
            </w:sdtContent>
          </w:sdt>
          <w:r>
            <w:rPr>
              <w:rFonts w:hint="eastAsia" w:ascii="宋体" w:hAnsi="宋体" w:eastAsia="宋体" w:cs="宋体"/>
              <w:sz w:val="24"/>
              <w:szCs w:val="24"/>
            </w:rPr>
            <w:tab/>
          </w:r>
          <w:bookmarkStart w:id="7" w:name="_Toc25243_WPSOffice_Level2Page"/>
          <w:r>
            <w:rPr>
              <w:rFonts w:hint="eastAsia" w:ascii="宋体" w:hAnsi="宋体" w:eastAsia="宋体" w:cs="宋体"/>
              <w:sz w:val="24"/>
              <w:szCs w:val="24"/>
            </w:rPr>
            <w:t>2</w:t>
          </w:r>
          <w:bookmarkEnd w:id="7"/>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"_Toc11206_WPSOffice_Level2" </w:instrText>
          </w:r>
          <w:r>
            <w:fldChar w:fldCharType="separate"/>
          </w:r>
          <w:sdt>
            <w:sdtPr>
              <w:rPr>
                <w:rFonts w:hint="eastAsia" w:ascii="宋体" w:hAnsi="宋体" w:eastAsia="宋体" w:cs="宋体"/>
                <w:kern w:val="30"/>
                <w:sz w:val="24"/>
                <w:szCs w:val="24"/>
              </w:rPr>
              <w:id w:val="-1974823268"/>
              <w:placeholder>
                <w:docPart w:val="{3d1a1bb2-ad07-4734-90b6-068e6ea2853b}"/>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（五）绩效目标设立情况</w:t>
              </w:r>
            </w:sdtContent>
          </w:sdt>
          <w:r>
            <w:rPr>
              <w:rFonts w:hint="eastAsia" w:ascii="宋体" w:hAnsi="宋体" w:eastAsia="宋体" w:cs="宋体"/>
              <w:sz w:val="24"/>
              <w:szCs w:val="24"/>
            </w:rPr>
            <w:tab/>
          </w:r>
          <w:bookmarkStart w:id="8" w:name="_Toc11206_WPSOffice_Level2Page"/>
          <w:r>
            <w:rPr>
              <w:rFonts w:hint="eastAsia" w:ascii="宋体" w:hAnsi="宋体" w:eastAsia="宋体" w:cs="宋体"/>
              <w:sz w:val="24"/>
              <w:szCs w:val="24"/>
            </w:rPr>
            <w:t>2</w:t>
          </w:r>
          <w:bookmarkEnd w:id="8"/>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"_Toc10803_WPSOffice_Level2" </w:instrText>
          </w:r>
          <w:r>
            <w:fldChar w:fldCharType="separate"/>
          </w:r>
          <w:sdt>
            <w:sdtPr>
              <w:rPr>
                <w:rFonts w:hint="eastAsia" w:ascii="宋体" w:hAnsi="宋体" w:eastAsia="宋体" w:cs="宋体"/>
                <w:kern w:val="30"/>
                <w:sz w:val="24"/>
                <w:szCs w:val="24"/>
              </w:rPr>
              <w:id w:val="1113948141"/>
              <w:placeholder>
                <w:docPart w:val="{9433f4c7-2015-4969-8669-00377f30c404}"/>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（六）组织管理情况</w:t>
              </w:r>
            </w:sdtContent>
          </w:sdt>
          <w:r>
            <w:rPr>
              <w:rFonts w:hint="eastAsia" w:ascii="宋体" w:hAnsi="宋体" w:eastAsia="宋体" w:cs="宋体"/>
              <w:sz w:val="24"/>
              <w:szCs w:val="24"/>
            </w:rPr>
            <w:tab/>
          </w:r>
          <w:bookmarkStart w:id="9" w:name="_Toc10803_WPSOffice_Level2Page"/>
          <w:r>
            <w:rPr>
              <w:rFonts w:hint="eastAsia" w:ascii="宋体" w:hAnsi="宋体" w:eastAsia="宋体" w:cs="宋体"/>
              <w:sz w:val="24"/>
              <w:szCs w:val="24"/>
            </w:rPr>
            <w:t>3</w:t>
          </w:r>
          <w:bookmarkEnd w:id="9"/>
          <w:r>
            <w:rPr>
              <w:rFonts w:hint="eastAsia" w:ascii="宋体" w:hAnsi="宋体" w:eastAsia="宋体" w:cs="宋体"/>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"_Toc12173_WPSOffice_Level1" </w:instrText>
          </w:r>
          <w:r>
            <w:fldChar w:fldCharType="separate"/>
          </w:r>
          <w:sdt>
            <w:sdtPr>
              <w:rPr>
                <w:rFonts w:hint="eastAsia" w:ascii="宋体" w:hAnsi="宋体" w:eastAsia="宋体" w:cs="宋体"/>
                <w:b/>
                <w:bCs/>
                <w:kern w:val="30"/>
                <w:sz w:val="24"/>
                <w:szCs w:val="24"/>
              </w:rPr>
              <w:id w:val="89208043"/>
              <w:placeholder>
                <w:docPart w:val="{3417aaa6-92b9-434e-9813-68ed031466c8}"/>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二、绩效自评情况</w:t>
              </w:r>
            </w:sdtContent>
          </w:sdt>
          <w:r>
            <w:rPr>
              <w:rFonts w:hint="eastAsia" w:ascii="宋体" w:hAnsi="宋体" w:eastAsia="宋体" w:cs="宋体"/>
              <w:b/>
              <w:bCs/>
              <w:sz w:val="24"/>
              <w:szCs w:val="24"/>
            </w:rPr>
            <w:tab/>
          </w:r>
          <w:bookmarkStart w:id="10" w:name="_Toc12173_WPSOffice_Level1Page"/>
          <w:r>
            <w:rPr>
              <w:rFonts w:hint="eastAsia" w:ascii="宋体" w:hAnsi="宋体" w:eastAsia="宋体" w:cs="宋体"/>
              <w:b/>
              <w:bCs/>
              <w:sz w:val="24"/>
              <w:szCs w:val="24"/>
            </w:rPr>
            <w:t>4</w:t>
          </w:r>
          <w:bookmarkEnd w:id="10"/>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"_Toc26191_WPSOffice_Level2" </w:instrText>
          </w:r>
          <w:r>
            <w:fldChar w:fldCharType="separate"/>
          </w:r>
          <w:sdt>
            <w:sdtPr>
              <w:rPr>
                <w:rFonts w:hint="eastAsia" w:ascii="宋体" w:hAnsi="宋体" w:eastAsia="宋体" w:cs="宋体"/>
                <w:kern w:val="30"/>
                <w:sz w:val="24"/>
                <w:szCs w:val="24"/>
              </w:rPr>
              <w:id w:val="2033832986"/>
              <w:placeholder>
                <w:docPart w:val="{66ea47b8-f4c6-468e-a0ed-22485b59f7d9}"/>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（一）绩效自评概述</w:t>
              </w:r>
            </w:sdtContent>
          </w:sdt>
          <w:r>
            <w:rPr>
              <w:rFonts w:hint="eastAsia" w:ascii="宋体" w:hAnsi="宋体" w:eastAsia="宋体" w:cs="宋体"/>
              <w:sz w:val="24"/>
              <w:szCs w:val="24"/>
            </w:rPr>
            <w:tab/>
          </w:r>
          <w:bookmarkStart w:id="11" w:name="_Toc26191_WPSOffice_Level2Page"/>
          <w:r>
            <w:rPr>
              <w:rFonts w:hint="eastAsia" w:ascii="宋体" w:hAnsi="宋体" w:eastAsia="宋体" w:cs="宋体"/>
              <w:sz w:val="24"/>
              <w:szCs w:val="24"/>
            </w:rPr>
            <w:t>4</w:t>
          </w:r>
          <w:bookmarkEnd w:id="11"/>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"_Toc31814_WPSOffice_Level2" </w:instrText>
          </w:r>
          <w:r>
            <w:fldChar w:fldCharType="separate"/>
          </w:r>
          <w:sdt>
            <w:sdtPr>
              <w:rPr>
                <w:rFonts w:hint="eastAsia" w:ascii="宋体" w:hAnsi="宋体" w:eastAsia="宋体" w:cs="宋体"/>
                <w:kern w:val="30"/>
                <w:sz w:val="24"/>
                <w:szCs w:val="24"/>
              </w:rPr>
              <w:id w:val="1214155052"/>
              <w:placeholder>
                <w:docPart w:val="{7b99f5d3-acc5-44d1-b7b4-b215604c707d}"/>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（二）绩效自评结论</w:t>
              </w:r>
            </w:sdtContent>
          </w:sdt>
          <w:r>
            <w:rPr>
              <w:rFonts w:hint="eastAsia" w:ascii="宋体" w:hAnsi="宋体" w:eastAsia="宋体" w:cs="宋体"/>
              <w:sz w:val="24"/>
              <w:szCs w:val="24"/>
            </w:rPr>
            <w:tab/>
          </w:r>
          <w:bookmarkStart w:id="12" w:name="_Toc31814_WPSOffice_Level2Page"/>
          <w:r>
            <w:rPr>
              <w:rFonts w:hint="eastAsia" w:ascii="宋体" w:hAnsi="宋体" w:eastAsia="宋体" w:cs="宋体"/>
              <w:sz w:val="24"/>
              <w:szCs w:val="24"/>
            </w:rPr>
            <w:t>4</w:t>
          </w:r>
          <w:bookmarkEnd w:id="12"/>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"_Toc18990_WPSOffice_Level2" </w:instrText>
          </w:r>
          <w:r>
            <w:fldChar w:fldCharType="separate"/>
          </w:r>
          <w:sdt>
            <w:sdtPr>
              <w:rPr>
                <w:rFonts w:hint="eastAsia" w:ascii="宋体" w:hAnsi="宋体" w:eastAsia="宋体" w:cs="宋体"/>
                <w:kern w:val="30"/>
                <w:sz w:val="24"/>
                <w:szCs w:val="24"/>
              </w:rPr>
              <w:id w:val="-1097940829"/>
              <w:placeholder>
                <w:docPart w:val="{8080e83f-98c1-4adf-ac78-10aa6d3ebe0b}"/>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（三）自评结论评价</w:t>
              </w:r>
            </w:sdtContent>
          </w:sdt>
          <w:r>
            <w:rPr>
              <w:rFonts w:hint="eastAsia" w:ascii="宋体" w:hAnsi="宋体" w:eastAsia="宋体" w:cs="宋体"/>
              <w:sz w:val="24"/>
              <w:szCs w:val="24"/>
            </w:rPr>
            <w:tab/>
          </w:r>
          <w:bookmarkStart w:id="13" w:name="_Toc18990_WPSOffice_Level2Page"/>
          <w:r>
            <w:rPr>
              <w:rFonts w:hint="eastAsia" w:ascii="宋体" w:hAnsi="宋体" w:eastAsia="宋体" w:cs="宋体"/>
              <w:sz w:val="24"/>
              <w:szCs w:val="24"/>
            </w:rPr>
            <w:t>5</w:t>
          </w:r>
          <w:bookmarkEnd w:id="13"/>
          <w:r>
            <w:rPr>
              <w:rFonts w:hint="eastAsia" w:ascii="宋体" w:hAnsi="宋体" w:eastAsia="宋体" w:cs="宋体"/>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"_Toc2508_WPSOffice_Level1" </w:instrText>
          </w:r>
          <w:r>
            <w:fldChar w:fldCharType="separate"/>
          </w:r>
          <w:sdt>
            <w:sdtPr>
              <w:rPr>
                <w:rFonts w:hint="eastAsia" w:ascii="宋体" w:hAnsi="宋体" w:eastAsia="宋体" w:cs="宋体"/>
                <w:b/>
                <w:bCs/>
                <w:kern w:val="30"/>
                <w:sz w:val="24"/>
                <w:szCs w:val="24"/>
              </w:rPr>
              <w:id w:val="-1594156670"/>
              <w:placeholder>
                <w:docPart w:val="{bd70600a-71e8-4efc-9a01-d512fabe6231}"/>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三、绩效再评价组织情况</w:t>
              </w:r>
            </w:sdtContent>
          </w:sdt>
          <w:r>
            <w:rPr>
              <w:rFonts w:hint="eastAsia" w:ascii="宋体" w:hAnsi="宋体" w:eastAsia="宋体" w:cs="宋体"/>
              <w:b/>
              <w:bCs/>
              <w:sz w:val="24"/>
              <w:szCs w:val="24"/>
            </w:rPr>
            <w:tab/>
          </w:r>
          <w:bookmarkStart w:id="14" w:name="_Toc2508_WPSOffice_Level1Page"/>
          <w:r>
            <w:rPr>
              <w:rFonts w:hint="eastAsia" w:ascii="宋体" w:hAnsi="宋体" w:eastAsia="宋体" w:cs="宋体"/>
              <w:b/>
              <w:bCs/>
              <w:sz w:val="24"/>
              <w:szCs w:val="24"/>
            </w:rPr>
            <w:t>5</w:t>
          </w:r>
          <w:bookmarkEnd w:id="14"/>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"_Toc9473_WPSOffice_Level2" </w:instrText>
          </w:r>
          <w:r>
            <w:fldChar w:fldCharType="separate"/>
          </w:r>
          <w:sdt>
            <w:sdtPr>
              <w:rPr>
                <w:rFonts w:hint="eastAsia" w:ascii="宋体" w:hAnsi="宋体" w:eastAsia="宋体" w:cs="宋体"/>
                <w:kern w:val="30"/>
                <w:sz w:val="24"/>
                <w:szCs w:val="24"/>
              </w:rPr>
              <w:id w:val="-681891899"/>
              <w:placeholder>
                <w:docPart w:val="{d797e2d2-bfb0-469c-860a-afb30cfc70d5}"/>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（一）绩效再评价依据</w:t>
              </w:r>
            </w:sdtContent>
          </w:sdt>
          <w:r>
            <w:rPr>
              <w:rFonts w:hint="eastAsia" w:ascii="宋体" w:hAnsi="宋体" w:eastAsia="宋体" w:cs="宋体"/>
              <w:sz w:val="24"/>
              <w:szCs w:val="24"/>
            </w:rPr>
            <w:tab/>
          </w:r>
          <w:bookmarkStart w:id="15" w:name="_Toc9473_WPSOffice_Level2Page"/>
          <w:r>
            <w:rPr>
              <w:rFonts w:hint="eastAsia" w:ascii="宋体" w:hAnsi="宋体" w:eastAsia="宋体" w:cs="宋体"/>
              <w:sz w:val="24"/>
              <w:szCs w:val="24"/>
            </w:rPr>
            <w:t>5</w:t>
          </w:r>
          <w:bookmarkEnd w:id="15"/>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"_Toc11031_WPSOffice_Level2" </w:instrText>
          </w:r>
          <w:r>
            <w:fldChar w:fldCharType="separate"/>
          </w:r>
          <w:sdt>
            <w:sdtPr>
              <w:rPr>
                <w:rFonts w:hint="eastAsia" w:ascii="宋体" w:hAnsi="宋体" w:eastAsia="宋体" w:cs="宋体"/>
                <w:kern w:val="30"/>
                <w:sz w:val="24"/>
                <w:szCs w:val="24"/>
              </w:rPr>
              <w:id w:val="-238256025"/>
              <w:placeholder>
                <w:docPart w:val="{f15d7d29-5d95-4aa4-a9be-440d796b4b23}"/>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（二）绩效再评价方法</w:t>
              </w:r>
            </w:sdtContent>
          </w:sdt>
          <w:r>
            <w:rPr>
              <w:rFonts w:hint="eastAsia" w:ascii="宋体" w:hAnsi="宋体" w:eastAsia="宋体" w:cs="宋体"/>
              <w:sz w:val="24"/>
              <w:szCs w:val="24"/>
            </w:rPr>
            <w:tab/>
          </w:r>
          <w:bookmarkStart w:id="16" w:name="_Toc11031_WPSOffice_Level2Page"/>
          <w:r>
            <w:rPr>
              <w:rFonts w:hint="eastAsia" w:ascii="宋体" w:hAnsi="宋体" w:eastAsia="宋体" w:cs="宋体"/>
              <w:sz w:val="24"/>
              <w:szCs w:val="24"/>
            </w:rPr>
            <w:t>6</w:t>
          </w:r>
          <w:bookmarkEnd w:id="16"/>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"_Toc26778_WPSOffice_Level2" </w:instrText>
          </w:r>
          <w:r>
            <w:fldChar w:fldCharType="separate"/>
          </w:r>
          <w:sdt>
            <w:sdtPr>
              <w:rPr>
                <w:rFonts w:hint="eastAsia" w:ascii="宋体" w:hAnsi="宋体" w:eastAsia="宋体" w:cs="宋体"/>
                <w:kern w:val="30"/>
                <w:sz w:val="24"/>
                <w:szCs w:val="24"/>
              </w:rPr>
              <w:id w:val="1222716201"/>
              <w:placeholder>
                <w:docPart w:val="{dc749ca5-bf31-4689-bea8-ae0384c93b6a}"/>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（三）绩效再评价指标体系</w:t>
              </w:r>
            </w:sdtContent>
          </w:sdt>
          <w:r>
            <w:rPr>
              <w:rFonts w:hint="eastAsia" w:ascii="宋体" w:hAnsi="宋体" w:eastAsia="宋体" w:cs="宋体"/>
              <w:sz w:val="24"/>
              <w:szCs w:val="24"/>
            </w:rPr>
            <w:tab/>
          </w:r>
          <w:bookmarkStart w:id="17" w:name="_Toc26778_WPSOffice_Level2Page"/>
          <w:r>
            <w:rPr>
              <w:rFonts w:hint="eastAsia" w:ascii="宋体" w:hAnsi="宋体" w:eastAsia="宋体" w:cs="宋体"/>
              <w:sz w:val="24"/>
              <w:szCs w:val="24"/>
            </w:rPr>
            <w:t>7</w:t>
          </w:r>
          <w:bookmarkEnd w:id="17"/>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"_Toc18030_WPSOffice_Level2" </w:instrText>
          </w:r>
          <w:r>
            <w:fldChar w:fldCharType="separate"/>
          </w:r>
          <w:sdt>
            <w:sdtPr>
              <w:rPr>
                <w:rFonts w:hint="eastAsia" w:ascii="宋体" w:hAnsi="宋体" w:eastAsia="宋体" w:cs="宋体"/>
                <w:kern w:val="30"/>
                <w:sz w:val="24"/>
                <w:szCs w:val="24"/>
              </w:rPr>
              <w:id w:val="257651649"/>
              <w:placeholder>
                <w:docPart w:val="{66d7efe8-97cc-49ba-932e-eed7817211b6}"/>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（四）绩效再评价抽样</w:t>
              </w:r>
            </w:sdtContent>
          </w:sdt>
          <w:r>
            <w:rPr>
              <w:rFonts w:hint="eastAsia" w:ascii="宋体" w:hAnsi="宋体" w:eastAsia="宋体" w:cs="宋体"/>
              <w:sz w:val="24"/>
              <w:szCs w:val="24"/>
            </w:rPr>
            <w:tab/>
          </w:r>
          <w:bookmarkStart w:id="18" w:name="_Toc18030_WPSOffice_Level2Page"/>
          <w:r>
            <w:rPr>
              <w:rFonts w:hint="eastAsia" w:ascii="宋体" w:hAnsi="宋体" w:eastAsia="宋体" w:cs="宋体"/>
              <w:sz w:val="24"/>
              <w:szCs w:val="24"/>
            </w:rPr>
            <w:t>8</w:t>
          </w:r>
          <w:bookmarkEnd w:id="18"/>
          <w:r>
            <w:rPr>
              <w:rFonts w:hint="eastAsia" w:ascii="宋体" w:hAnsi="宋体" w:eastAsia="宋体" w:cs="宋体"/>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"_Toc32078_WPSOffice_Level1" </w:instrText>
          </w:r>
          <w:r>
            <w:fldChar w:fldCharType="separate"/>
          </w:r>
          <w:sdt>
            <w:sdtPr>
              <w:rPr>
                <w:rFonts w:hint="eastAsia" w:ascii="宋体" w:hAnsi="宋体" w:eastAsia="宋体" w:cs="宋体"/>
                <w:b/>
                <w:bCs/>
                <w:kern w:val="30"/>
                <w:sz w:val="24"/>
                <w:szCs w:val="24"/>
              </w:rPr>
              <w:id w:val="391308046"/>
              <w:placeholder>
                <w:docPart w:val="{f9c3c403-1fc0-4b0a-897e-5fd973b9d708}"/>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四、绩效再评价结论</w:t>
              </w:r>
            </w:sdtContent>
          </w:sdt>
          <w:r>
            <w:rPr>
              <w:rFonts w:hint="eastAsia" w:ascii="宋体" w:hAnsi="宋体" w:eastAsia="宋体" w:cs="宋体"/>
              <w:b/>
              <w:bCs/>
              <w:sz w:val="24"/>
              <w:szCs w:val="24"/>
            </w:rPr>
            <w:tab/>
          </w:r>
          <w:bookmarkStart w:id="19" w:name="_Toc32078_WPSOffice_Level1Page"/>
          <w:r>
            <w:rPr>
              <w:rFonts w:hint="eastAsia" w:ascii="宋体" w:hAnsi="宋体" w:eastAsia="宋体" w:cs="宋体"/>
              <w:b/>
              <w:bCs/>
              <w:sz w:val="24"/>
              <w:szCs w:val="24"/>
            </w:rPr>
            <w:t>9</w:t>
          </w:r>
          <w:bookmarkEnd w:id="19"/>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"_Toc6342_WPSOffice_Level2" </w:instrText>
          </w:r>
          <w:r>
            <w:fldChar w:fldCharType="separate"/>
          </w:r>
          <w:sdt>
            <w:sdtPr>
              <w:rPr>
                <w:rFonts w:hint="eastAsia" w:ascii="宋体" w:hAnsi="宋体" w:eastAsia="宋体" w:cs="宋体"/>
                <w:kern w:val="30"/>
                <w:sz w:val="24"/>
                <w:szCs w:val="24"/>
              </w:rPr>
              <w:id w:val="-367834182"/>
              <w:placeholder>
                <w:docPart w:val="{495bab44-6c7b-4f21-a097-8de8a2188575}"/>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（一）绩效再评价综合结论</w:t>
              </w:r>
            </w:sdtContent>
          </w:sdt>
          <w:r>
            <w:rPr>
              <w:rFonts w:hint="eastAsia" w:ascii="宋体" w:hAnsi="宋体" w:eastAsia="宋体" w:cs="宋体"/>
              <w:sz w:val="24"/>
              <w:szCs w:val="24"/>
            </w:rPr>
            <w:tab/>
          </w:r>
          <w:bookmarkStart w:id="20" w:name="_Toc6342_WPSOffice_Level2Page"/>
          <w:r>
            <w:rPr>
              <w:rFonts w:hint="eastAsia" w:ascii="宋体" w:hAnsi="宋体" w:eastAsia="宋体" w:cs="宋体"/>
              <w:sz w:val="24"/>
              <w:szCs w:val="24"/>
            </w:rPr>
            <w:t>9</w:t>
          </w:r>
          <w:bookmarkEnd w:id="20"/>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"_Toc4470_WPSOffice_Level2" </w:instrText>
          </w:r>
          <w:r>
            <w:fldChar w:fldCharType="separate"/>
          </w:r>
          <w:sdt>
            <w:sdtPr>
              <w:rPr>
                <w:rFonts w:hint="eastAsia" w:ascii="宋体" w:hAnsi="宋体" w:eastAsia="宋体" w:cs="宋体"/>
                <w:kern w:val="30"/>
                <w:sz w:val="24"/>
                <w:szCs w:val="24"/>
              </w:rPr>
              <w:id w:val="1655650310"/>
              <w:placeholder>
                <w:docPart w:val="{2f28ed37-2458-44d2-8dfb-62d225ee1333}"/>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（二）绩效目标实现情况</w:t>
              </w:r>
            </w:sdtContent>
          </w:sdt>
          <w:r>
            <w:rPr>
              <w:rFonts w:hint="eastAsia" w:ascii="宋体" w:hAnsi="宋体" w:eastAsia="宋体" w:cs="宋体"/>
              <w:sz w:val="24"/>
              <w:szCs w:val="24"/>
            </w:rPr>
            <w:tab/>
          </w:r>
          <w:bookmarkStart w:id="21" w:name="_Toc4470_WPSOffice_Level2Page"/>
          <w:r>
            <w:rPr>
              <w:rFonts w:hint="eastAsia" w:ascii="宋体" w:hAnsi="宋体" w:eastAsia="宋体" w:cs="宋体"/>
              <w:sz w:val="24"/>
              <w:szCs w:val="24"/>
            </w:rPr>
            <w:t>10</w:t>
          </w:r>
          <w:bookmarkEnd w:id="21"/>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"_Toc32432_WPSOffice_Level2" </w:instrText>
          </w:r>
          <w:r>
            <w:fldChar w:fldCharType="separate"/>
          </w:r>
          <w:sdt>
            <w:sdtPr>
              <w:rPr>
                <w:rFonts w:hint="eastAsia" w:ascii="宋体" w:hAnsi="宋体" w:eastAsia="宋体" w:cs="宋体"/>
                <w:kern w:val="30"/>
                <w:sz w:val="24"/>
                <w:szCs w:val="24"/>
              </w:rPr>
              <w:id w:val="-2025385367"/>
              <w:placeholder>
                <w:docPart w:val="{f3a76990-d349-4c72-80ff-6bdfbb00e0f5}"/>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（三）绩效自评与再评价差异分析</w:t>
              </w:r>
            </w:sdtContent>
          </w:sdt>
          <w:r>
            <w:rPr>
              <w:rFonts w:hint="eastAsia" w:ascii="宋体" w:hAnsi="宋体" w:eastAsia="宋体" w:cs="宋体"/>
              <w:sz w:val="24"/>
              <w:szCs w:val="24"/>
            </w:rPr>
            <w:tab/>
          </w:r>
          <w:bookmarkStart w:id="22" w:name="_Toc32432_WPSOffice_Level2Page"/>
          <w:r>
            <w:rPr>
              <w:rFonts w:hint="eastAsia" w:ascii="宋体" w:hAnsi="宋体" w:eastAsia="宋体" w:cs="宋体"/>
              <w:sz w:val="24"/>
              <w:szCs w:val="24"/>
            </w:rPr>
            <w:t>12</w:t>
          </w:r>
          <w:bookmarkEnd w:id="22"/>
          <w:r>
            <w:rPr>
              <w:rFonts w:hint="eastAsia" w:ascii="宋体" w:hAnsi="宋体" w:eastAsia="宋体" w:cs="宋体"/>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"_Toc29239_WPSOffice_Level1" </w:instrText>
          </w:r>
          <w:r>
            <w:fldChar w:fldCharType="separate"/>
          </w:r>
          <w:sdt>
            <w:sdtPr>
              <w:rPr>
                <w:rFonts w:hint="eastAsia" w:ascii="宋体" w:hAnsi="宋体" w:eastAsia="宋体" w:cs="宋体"/>
                <w:b/>
                <w:bCs/>
                <w:kern w:val="30"/>
                <w:sz w:val="24"/>
                <w:szCs w:val="24"/>
              </w:rPr>
              <w:id w:val="-1783957365"/>
              <w:placeholder>
                <w:docPart w:val="{d23fa392-7220-41f6-b1e7-ec37527fb177}"/>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五、绩效再评价情况分析</w:t>
              </w:r>
            </w:sdtContent>
          </w:sdt>
          <w:r>
            <w:rPr>
              <w:rFonts w:hint="eastAsia" w:ascii="宋体" w:hAnsi="宋体" w:eastAsia="宋体" w:cs="宋体"/>
              <w:b/>
              <w:bCs/>
              <w:sz w:val="24"/>
              <w:szCs w:val="24"/>
            </w:rPr>
            <w:tab/>
          </w:r>
          <w:bookmarkStart w:id="23" w:name="_Toc29239_WPSOffice_Level1Page"/>
          <w:r>
            <w:rPr>
              <w:rFonts w:hint="eastAsia" w:ascii="宋体" w:hAnsi="宋体" w:eastAsia="宋体" w:cs="宋体"/>
              <w:b/>
              <w:bCs/>
              <w:sz w:val="24"/>
              <w:szCs w:val="24"/>
            </w:rPr>
            <w:t>13</w:t>
          </w:r>
          <w:bookmarkEnd w:id="23"/>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"_Toc32209_WPSOffice_Level2" </w:instrText>
          </w:r>
          <w:r>
            <w:fldChar w:fldCharType="separate"/>
          </w:r>
          <w:sdt>
            <w:sdtPr>
              <w:rPr>
                <w:rFonts w:hint="eastAsia" w:ascii="宋体" w:hAnsi="宋体" w:eastAsia="宋体" w:cs="宋体"/>
                <w:kern w:val="30"/>
                <w:sz w:val="24"/>
                <w:szCs w:val="24"/>
              </w:rPr>
              <w:id w:val="1795943963"/>
              <w:placeholder>
                <w:docPart w:val="{9705aa68-d9cf-4243-be86-8dbbd5ed8028}"/>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（一）投入情况分析</w:t>
              </w:r>
            </w:sdtContent>
          </w:sdt>
          <w:r>
            <w:rPr>
              <w:rFonts w:hint="eastAsia" w:ascii="宋体" w:hAnsi="宋体" w:eastAsia="宋体" w:cs="宋体"/>
              <w:sz w:val="24"/>
              <w:szCs w:val="24"/>
            </w:rPr>
            <w:tab/>
          </w:r>
          <w:bookmarkStart w:id="24" w:name="_Toc32209_WPSOffice_Level2Page"/>
          <w:r>
            <w:rPr>
              <w:rFonts w:hint="eastAsia" w:ascii="宋体" w:hAnsi="宋体" w:eastAsia="宋体" w:cs="宋体"/>
              <w:sz w:val="24"/>
              <w:szCs w:val="24"/>
            </w:rPr>
            <w:t>13</w:t>
          </w:r>
          <w:bookmarkEnd w:id="24"/>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"_Toc1524_WPSOffice_Level2" </w:instrText>
          </w:r>
          <w:r>
            <w:fldChar w:fldCharType="separate"/>
          </w:r>
          <w:sdt>
            <w:sdtPr>
              <w:rPr>
                <w:rFonts w:hint="eastAsia" w:ascii="宋体" w:hAnsi="宋体" w:eastAsia="宋体" w:cs="宋体"/>
                <w:kern w:val="30"/>
                <w:sz w:val="24"/>
                <w:szCs w:val="24"/>
              </w:rPr>
              <w:id w:val="-165486244"/>
              <w:placeholder>
                <w:docPart w:val="{e5ad3843-64c8-48fe-bca4-17a59261d77f}"/>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（二）过程情况分析</w:t>
              </w:r>
            </w:sdtContent>
          </w:sdt>
          <w:r>
            <w:rPr>
              <w:rFonts w:hint="eastAsia" w:ascii="宋体" w:hAnsi="宋体" w:eastAsia="宋体" w:cs="宋体"/>
              <w:sz w:val="24"/>
              <w:szCs w:val="24"/>
            </w:rPr>
            <w:tab/>
          </w:r>
          <w:bookmarkStart w:id="25" w:name="_Toc1524_WPSOffice_Level2Page"/>
          <w:r>
            <w:rPr>
              <w:rFonts w:hint="eastAsia" w:ascii="宋体" w:hAnsi="宋体" w:eastAsia="宋体" w:cs="宋体"/>
              <w:sz w:val="24"/>
              <w:szCs w:val="24"/>
            </w:rPr>
            <w:t>14</w:t>
          </w:r>
          <w:bookmarkEnd w:id="25"/>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"_Toc3878_WPSOffice_Level2" </w:instrText>
          </w:r>
          <w:r>
            <w:fldChar w:fldCharType="separate"/>
          </w:r>
          <w:sdt>
            <w:sdtPr>
              <w:rPr>
                <w:rFonts w:hint="eastAsia" w:ascii="宋体" w:hAnsi="宋体" w:eastAsia="宋体" w:cs="宋体"/>
                <w:kern w:val="30"/>
                <w:sz w:val="24"/>
                <w:szCs w:val="24"/>
              </w:rPr>
              <w:id w:val="-27031784"/>
              <w:placeholder>
                <w:docPart w:val="{10ae99ad-bddb-4c24-9535-5eb2d6812394}"/>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（三）产出情况分析</w:t>
              </w:r>
            </w:sdtContent>
          </w:sdt>
          <w:r>
            <w:rPr>
              <w:rFonts w:hint="eastAsia" w:ascii="宋体" w:hAnsi="宋体" w:eastAsia="宋体" w:cs="宋体"/>
              <w:sz w:val="24"/>
              <w:szCs w:val="24"/>
            </w:rPr>
            <w:tab/>
          </w:r>
          <w:bookmarkStart w:id="26" w:name="_Toc3878_WPSOffice_Level2Page"/>
          <w:r>
            <w:rPr>
              <w:rFonts w:hint="eastAsia" w:ascii="宋体" w:hAnsi="宋体" w:eastAsia="宋体" w:cs="宋体"/>
              <w:sz w:val="24"/>
              <w:szCs w:val="24"/>
            </w:rPr>
            <w:t>15</w:t>
          </w:r>
          <w:bookmarkEnd w:id="26"/>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"_Toc14381_WPSOffice_Level2" </w:instrText>
          </w:r>
          <w:r>
            <w:fldChar w:fldCharType="separate"/>
          </w:r>
          <w:sdt>
            <w:sdtPr>
              <w:rPr>
                <w:rFonts w:hint="eastAsia" w:ascii="宋体" w:hAnsi="宋体" w:eastAsia="宋体" w:cs="宋体"/>
                <w:kern w:val="30"/>
                <w:sz w:val="24"/>
                <w:szCs w:val="24"/>
              </w:rPr>
              <w:id w:val="-104192449"/>
              <w:placeholder>
                <w:docPart w:val="{48f0e2c7-7bac-4079-9c33-af9563958abb}"/>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（四）效果情况分析</w:t>
              </w:r>
            </w:sdtContent>
          </w:sdt>
          <w:r>
            <w:rPr>
              <w:rFonts w:hint="eastAsia" w:ascii="宋体" w:hAnsi="宋体" w:eastAsia="宋体" w:cs="宋体"/>
              <w:sz w:val="24"/>
              <w:szCs w:val="24"/>
            </w:rPr>
            <w:tab/>
          </w:r>
          <w:bookmarkStart w:id="27" w:name="_Toc14381_WPSOffice_Level2Page"/>
          <w:r>
            <w:rPr>
              <w:rFonts w:hint="eastAsia" w:ascii="宋体" w:hAnsi="宋体" w:eastAsia="宋体" w:cs="宋体"/>
              <w:sz w:val="24"/>
              <w:szCs w:val="24"/>
            </w:rPr>
            <w:t>17</w:t>
          </w:r>
          <w:bookmarkEnd w:id="27"/>
          <w:r>
            <w:rPr>
              <w:rFonts w:hint="eastAsia" w:ascii="宋体" w:hAnsi="宋体" w:eastAsia="宋体" w:cs="宋体"/>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"_Toc25243_WPSOffice_Level1" </w:instrText>
          </w:r>
          <w:r>
            <w:fldChar w:fldCharType="separate"/>
          </w:r>
          <w:sdt>
            <w:sdtPr>
              <w:rPr>
                <w:rFonts w:hint="eastAsia" w:ascii="宋体" w:hAnsi="宋体" w:eastAsia="宋体" w:cs="宋体"/>
                <w:b/>
                <w:bCs/>
                <w:kern w:val="30"/>
                <w:sz w:val="24"/>
                <w:szCs w:val="24"/>
              </w:rPr>
              <w:id w:val="2130891273"/>
              <w:placeholder>
                <w:docPart w:val="{cf2421e4-5df5-41c4-a7e7-de957df3227b}"/>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六、工程项目审核情况</w:t>
              </w:r>
            </w:sdtContent>
          </w:sdt>
          <w:r>
            <w:rPr>
              <w:rFonts w:hint="eastAsia" w:ascii="宋体" w:hAnsi="宋体" w:eastAsia="宋体" w:cs="宋体"/>
              <w:b/>
              <w:bCs/>
              <w:sz w:val="24"/>
              <w:szCs w:val="24"/>
            </w:rPr>
            <w:tab/>
          </w:r>
          <w:bookmarkStart w:id="28" w:name="_Toc25243_WPSOffice_Level1Page"/>
          <w:r>
            <w:rPr>
              <w:rFonts w:hint="eastAsia" w:ascii="宋体" w:hAnsi="宋体" w:eastAsia="宋体" w:cs="宋体"/>
              <w:b/>
              <w:bCs/>
              <w:sz w:val="24"/>
              <w:szCs w:val="24"/>
            </w:rPr>
            <w:t>18</w:t>
          </w:r>
          <w:bookmarkEnd w:id="28"/>
          <w:r>
            <w:rPr>
              <w:rFonts w:hint="eastAsia" w:ascii="宋体" w:hAnsi="宋体" w:eastAsia="宋体" w:cs="宋体"/>
              <w:b/>
              <w:bCs/>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"_Toc11206_WPSOffice_Level1" </w:instrText>
          </w:r>
          <w:r>
            <w:fldChar w:fldCharType="separate"/>
          </w:r>
          <w:sdt>
            <w:sdtPr>
              <w:rPr>
                <w:rFonts w:hint="eastAsia" w:ascii="宋体" w:hAnsi="宋体" w:eastAsia="宋体" w:cs="宋体"/>
                <w:b/>
                <w:bCs/>
                <w:kern w:val="30"/>
                <w:sz w:val="24"/>
                <w:szCs w:val="24"/>
              </w:rPr>
              <w:id w:val="33319964"/>
              <w:placeholder>
                <w:docPart w:val="{d1674720-7c43-461d-816d-3fc12e6be9ed}"/>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七、存在问题及原因分析</w:t>
              </w:r>
            </w:sdtContent>
          </w:sdt>
          <w:r>
            <w:rPr>
              <w:rFonts w:hint="eastAsia" w:ascii="宋体" w:hAnsi="宋体" w:eastAsia="宋体" w:cs="宋体"/>
              <w:b/>
              <w:bCs/>
              <w:sz w:val="24"/>
              <w:szCs w:val="24"/>
            </w:rPr>
            <w:tab/>
          </w:r>
          <w:bookmarkStart w:id="29" w:name="_Toc11206_WPSOffice_Level1Page"/>
          <w:r>
            <w:rPr>
              <w:rFonts w:hint="eastAsia" w:ascii="宋体" w:hAnsi="宋体" w:eastAsia="宋体" w:cs="宋体"/>
              <w:b/>
              <w:bCs/>
              <w:sz w:val="24"/>
              <w:szCs w:val="24"/>
            </w:rPr>
            <w:t>20</w:t>
          </w:r>
          <w:bookmarkEnd w:id="29"/>
          <w:r>
            <w:rPr>
              <w:rFonts w:hint="eastAsia" w:ascii="宋体" w:hAnsi="宋体" w:eastAsia="宋体" w:cs="宋体"/>
              <w:b/>
              <w:bCs/>
              <w:sz w:val="24"/>
              <w:szCs w:val="24"/>
            </w:rPr>
            <w:fldChar w:fldCharType="end"/>
          </w:r>
        </w:p>
        <w:p>
          <w:pPr>
            <w:pStyle w:val="39"/>
            <w:tabs>
              <w:tab w:val="right" w:leader="dot" w:pos="8844"/>
            </w:tabs>
            <w:adjustRightInd w:val="0"/>
            <w:snapToGrid w:val="0"/>
            <w:rPr>
              <w:rFonts w:ascii="宋体" w:hAnsi="宋体" w:eastAsia="宋体" w:cs="宋体"/>
              <w:sz w:val="24"/>
              <w:szCs w:val="24"/>
            </w:rPr>
          </w:pPr>
          <w:r>
            <w:fldChar w:fldCharType="begin"/>
          </w:r>
          <w:r>
            <w:instrText xml:space="preserve"> HYPERLINK \l "_Toc10803_WPSOffice_Level1" </w:instrText>
          </w:r>
          <w:r>
            <w:fldChar w:fldCharType="separate"/>
          </w:r>
          <w:sdt>
            <w:sdtPr>
              <w:rPr>
                <w:rFonts w:hint="eastAsia" w:ascii="宋体" w:hAnsi="宋体" w:eastAsia="宋体" w:cs="宋体"/>
                <w:b/>
                <w:bCs/>
                <w:kern w:val="30"/>
                <w:sz w:val="24"/>
                <w:szCs w:val="24"/>
              </w:rPr>
              <w:id w:val="-1161235370"/>
              <w:placeholder>
                <w:docPart w:val="{f0154992-4d06-41d9-8c8f-18843674b554}"/>
              </w:placeholder>
              <w15:color w:val="509DF3"/>
            </w:sdtPr>
            <w:sdtEndPr>
              <w:rPr>
                <w:rFonts w:hint="eastAsia" w:ascii="宋体" w:hAnsi="宋体" w:eastAsia="宋体" w:cs="宋体"/>
                <w:b/>
                <w:bCs/>
                <w:kern w:val="30"/>
                <w:sz w:val="24"/>
                <w:szCs w:val="24"/>
              </w:rPr>
            </w:sdtEndPr>
            <w:sdtContent>
              <w:r>
                <w:rPr>
                  <w:rFonts w:hint="eastAsia" w:ascii="宋体" w:hAnsi="宋体" w:eastAsia="宋体" w:cs="宋体"/>
                  <w:b/>
                  <w:bCs/>
                  <w:sz w:val="24"/>
                  <w:szCs w:val="24"/>
                </w:rPr>
                <w:t>八、建议</w:t>
              </w:r>
            </w:sdtContent>
          </w:sdt>
          <w:r>
            <w:rPr>
              <w:rFonts w:hint="eastAsia" w:ascii="宋体" w:hAnsi="宋体" w:eastAsia="宋体" w:cs="宋体"/>
              <w:b/>
              <w:bCs/>
              <w:sz w:val="24"/>
              <w:szCs w:val="24"/>
            </w:rPr>
            <w:tab/>
          </w:r>
          <w:bookmarkStart w:id="30" w:name="_Toc10803_WPSOffice_Level1Page"/>
          <w:r>
            <w:rPr>
              <w:rFonts w:hint="eastAsia" w:ascii="宋体" w:hAnsi="宋体" w:eastAsia="宋体" w:cs="宋体"/>
              <w:b/>
              <w:bCs/>
              <w:sz w:val="24"/>
              <w:szCs w:val="24"/>
            </w:rPr>
            <w:t>22</w:t>
          </w:r>
          <w:bookmarkEnd w:id="30"/>
          <w:r>
            <w:rPr>
              <w:rFonts w:hint="eastAsia" w:ascii="宋体" w:hAnsi="宋体" w:eastAsia="宋体" w:cs="宋体"/>
              <w:b/>
              <w:bCs/>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"_Toc11125_WPSOffice_Level2" </w:instrText>
          </w:r>
          <w:r>
            <w:fldChar w:fldCharType="separate"/>
          </w:r>
          <w:sdt>
            <w:sdtPr>
              <w:rPr>
                <w:rFonts w:hint="eastAsia" w:ascii="宋体" w:hAnsi="宋体" w:eastAsia="宋体" w:cs="宋体"/>
                <w:kern w:val="30"/>
                <w:sz w:val="24"/>
                <w:szCs w:val="24"/>
              </w:rPr>
              <w:id w:val="46345026"/>
              <w:placeholder>
                <w:docPart w:val="{ead8a49f-0464-4db4-a416-946f35e3d192}"/>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（一）制度先行，压实责任</w:t>
              </w:r>
            </w:sdtContent>
          </w:sdt>
          <w:r>
            <w:rPr>
              <w:rFonts w:hint="eastAsia" w:ascii="宋体" w:hAnsi="宋体" w:eastAsia="宋体" w:cs="宋体"/>
              <w:sz w:val="24"/>
              <w:szCs w:val="24"/>
            </w:rPr>
            <w:tab/>
          </w:r>
          <w:bookmarkStart w:id="31" w:name="_Toc11125_WPSOffice_Level2Page"/>
          <w:r>
            <w:rPr>
              <w:rFonts w:hint="eastAsia" w:ascii="宋体" w:hAnsi="宋体" w:eastAsia="宋体" w:cs="宋体"/>
              <w:sz w:val="24"/>
              <w:szCs w:val="24"/>
            </w:rPr>
            <w:t>22</w:t>
          </w:r>
          <w:bookmarkEnd w:id="31"/>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"_Toc21098_WPSOffice_Level2" </w:instrText>
          </w:r>
          <w:r>
            <w:fldChar w:fldCharType="separate"/>
          </w:r>
          <w:sdt>
            <w:sdtPr>
              <w:rPr>
                <w:rFonts w:hint="eastAsia" w:ascii="宋体" w:hAnsi="宋体" w:eastAsia="宋体" w:cs="宋体"/>
                <w:kern w:val="30"/>
                <w:sz w:val="24"/>
                <w:szCs w:val="24"/>
              </w:rPr>
              <w:id w:val="-733076629"/>
              <w:placeholder>
                <w:docPart w:val="{66b44d93-903e-4aa8-bc42-698cc48b45f7}"/>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（二）加强项目前期工作，保障项目实施效果</w:t>
              </w:r>
            </w:sdtContent>
          </w:sdt>
          <w:r>
            <w:rPr>
              <w:rFonts w:hint="eastAsia" w:ascii="宋体" w:hAnsi="宋体" w:eastAsia="宋体" w:cs="宋体"/>
              <w:sz w:val="24"/>
              <w:szCs w:val="24"/>
            </w:rPr>
            <w:tab/>
          </w:r>
          <w:bookmarkStart w:id="32" w:name="_Toc21098_WPSOffice_Level2Page"/>
          <w:r>
            <w:rPr>
              <w:rFonts w:hint="eastAsia" w:ascii="宋体" w:hAnsi="宋体" w:eastAsia="宋体" w:cs="宋体"/>
              <w:sz w:val="24"/>
              <w:szCs w:val="24"/>
            </w:rPr>
            <w:t>22</w:t>
          </w:r>
          <w:bookmarkEnd w:id="32"/>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"_Toc13347_WPSOffice_Level2" </w:instrText>
          </w:r>
          <w:r>
            <w:fldChar w:fldCharType="separate"/>
          </w:r>
          <w:sdt>
            <w:sdtPr>
              <w:rPr>
                <w:rFonts w:hint="eastAsia" w:ascii="宋体" w:hAnsi="宋体" w:eastAsia="宋体" w:cs="宋体"/>
                <w:kern w:val="30"/>
                <w:sz w:val="24"/>
                <w:szCs w:val="24"/>
              </w:rPr>
              <w:id w:val="356015131"/>
              <w:placeholder>
                <w:docPart w:val="{e5ead173-d14c-43ba-b1e3-b2f182adf99d}"/>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（三）强化过程管理，规范项目实施</w:t>
              </w:r>
            </w:sdtContent>
          </w:sdt>
          <w:r>
            <w:rPr>
              <w:rFonts w:hint="eastAsia" w:ascii="宋体" w:hAnsi="宋体" w:eastAsia="宋体" w:cs="宋体"/>
              <w:sz w:val="24"/>
              <w:szCs w:val="24"/>
            </w:rPr>
            <w:tab/>
          </w:r>
          <w:bookmarkStart w:id="33" w:name="_Toc13347_WPSOffice_Level2Page"/>
          <w:r>
            <w:rPr>
              <w:rFonts w:hint="eastAsia" w:ascii="宋体" w:hAnsi="宋体" w:eastAsia="宋体" w:cs="宋体"/>
              <w:sz w:val="24"/>
              <w:szCs w:val="24"/>
            </w:rPr>
            <w:t>22</w:t>
          </w:r>
          <w:bookmarkEnd w:id="33"/>
          <w:r>
            <w:rPr>
              <w:rFonts w:hint="eastAsia" w:ascii="宋体" w:hAnsi="宋体" w:eastAsia="宋体" w:cs="宋体"/>
              <w:sz w:val="24"/>
              <w:szCs w:val="24"/>
            </w:rPr>
            <w:fldChar w:fldCharType="end"/>
          </w:r>
        </w:p>
        <w:p>
          <w:pPr>
            <w:pStyle w:val="40"/>
            <w:tabs>
              <w:tab w:val="right" w:leader="dot" w:pos="8844"/>
            </w:tabs>
            <w:adjustRightInd w:val="0"/>
            <w:snapToGrid w:val="0"/>
            <w:ind w:left="632"/>
            <w:rPr>
              <w:rFonts w:ascii="宋体" w:hAnsi="宋体" w:eastAsia="宋体" w:cs="宋体"/>
              <w:sz w:val="24"/>
              <w:szCs w:val="24"/>
            </w:rPr>
          </w:pPr>
          <w:r>
            <w:fldChar w:fldCharType="begin"/>
          </w:r>
          <w:r>
            <w:instrText xml:space="preserve"> HYPERLINK \l "_Toc2716_WPSOffice_Level2" </w:instrText>
          </w:r>
          <w:r>
            <w:fldChar w:fldCharType="separate"/>
          </w:r>
          <w:sdt>
            <w:sdtPr>
              <w:rPr>
                <w:rFonts w:hint="eastAsia" w:ascii="宋体" w:hAnsi="宋体" w:eastAsia="宋体" w:cs="宋体"/>
                <w:kern w:val="30"/>
                <w:sz w:val="24"/>
                <w:szCs w:val="24"/>
              </w:rPr>
              <w:id w:val="-560101115"/>
              <w:placeholder>
                <w:docPart w:val="{2fa3663e-5a7d-4cf7-b82f-6cf97ffb749c}"/>
              </w:placeholder>
              <w15:color w:val="509DF3"/>
            </w:sdtPr>
            <w:sdtEndPr>
              <w:rPr>
                <w:rFonts w:hint="eastAsia" w:ascii="宋体" w:hAnsi="宋体" w:eastAsia="宋体" w:cs="宋体"/>
                <w:kern w:val="30"/>
                <w:sz w:val="24"/>
                <w:szCs w:val="24"/>
              </w:rPr>
            </w:sdtEndPr>
            <w:sdtContent>
              <w:r>
                <w:rPr>
                  <w:rFonts w:hint="eastAsia" w:ascii="宋体" w:hAnsi="宋体" w:eastAsia="宋体" w:cs="宋体"/>
                  <w:sz w:val="24"/>
                  <w:szCs w:val="24"/>
                </w:rPr>
                <w:t>（四）强化预算绩效管理意识，提高预算绩效管理水平</w:t>
              </w:r>
            </w:sdtContent>
          </w:sdt>
          <w:r>
            <w:rPr>
              <w:rFonts w:hint="eastAsia" w:ascii="宋体" w:hAnsi="宋体" w:eastAsia="宋体" w:cs="宋体"/>
              <w:sz w:val="24"/>
              <w:szCs w:val="24"/>
            </w:rPr>
            <w:tab/>
          </w:r>
          <w:bookmarkStart w:id="34" w:name="_Toc2716_WPSOffice_Level2Page"/>
          <w:r>
            <w:rPr>
              <w:rFonts w:hint="eastAsia" w:ascii="宋体" w:hAnsi="宋体" w:eastAsia="宋体" w:cs="宋体"/>
              <w:sz w:val="24"/>
              <w:szCs w:val="24"/>
            </w:rPr>
            <w:t>23</w:t>
          </w:r>
          <w:bookmarkEnd w:id="34"/>
          <w:r>
            <w:rPr>
              <w:rFonts w:hint="eastAsia" w:ascii="宋体" w:hAnsi="宋体" w:eastAsia="宋体" w:cs="宋体"/>
              <w:sz w:val="24"/>
              <w:szCs w:val="24"/>
            </w:rPr>
            <w:fldChar w:fldCharType="end"/>
          </w:r>
        </w:p>
        <w:p>
          <w:pPr>
            <w:spacing w:line="579" w:lineRule="exact"/>
            <w:rPr>
              <w:rFonts w:asciiTheme="minorHAnsi" w:hAnsiTheme="minorHAnsi" w:eastAsiaTheme="minorEastAsia" w:cstheme="minorBidi"/>
              <w:b/>
              <w:bCs/>
            </w:rPr>
          </w:pPr>
        </w:p>
      </w:sdtContent>
    </w:sdt>
    <w:bookmarkEnd w:id="1"/>
    <w:p>
      <w:pPr>
        <w:spacing w:line="579" w:lineRule="exact"/>
        <w:rPr>
          <w:rFonts w:asciiTheme="minorHAnsi" w:hAnsiTheme="minorHAnsi" w:eastAsiaTheme="minorEastAsia" w:cstheme="minorBidi"/>
          <w:b/>
          <w:bCs/>
        </w:rPr>
      </w:pPr>
    </w:p>
    <w:p>
      <w:pPr>
        <w:spacing w:line="579" w:lineRule="exact"/>
        <w:jc w:val="center"/>
        <w:outlineLvl w:val="0"/>
        <w:rPr>
          <w:rFonts w:ascii="黑体" w:hAnsi="黑体" w:eastAsia="黑体" w:cs="宋体"/>
          <w:sz w:val="36"/>
          <w:szCs w:val="36"/>
        </w:rPr>
      </w:pPr>
      <w:bookmarkStart w:id="35" w:name="_Toc16233_WPSOffice_Level1"/>
      <w:bookmarkStart w:id="36" w:name="_Toc18491"/>
      <w:r>
        <w:rPr>
          <w:rFonts w:hint="eastAsia" w:ascii="方正小标宋简体" w:hAnsi="方正小标宋简体" w:eastAsia="方正小标宋简体" w:cs="方正小标宋简体"/>
          <w:sz w:val="36"/>
          <w:szCs w:val="36"/>
        </w:rPr>
        <w:t>摘 要</w:t>
      </w:r>
      <w:bookmarkEnd w:id="35"/>
      <w:bookmarkEnd w:id="36"/>
    </w:p>
    <w:p>
      <w:pPr>
        <w:overflowPunct w:val="0"/>
        <w:spacing w:line="579" w:lineRule="exact"/>
        <w:ind w:firstLine="629"/>
        <w:rPr>
          <w:rFonts w:ascii="黑体" w:hAnsi="黑体" w:eastAsia="黑体"/>
          <w:szCs w:val="30"/>
        </w:rPr>
      </w:pPr>
      <w:bookmarkStart w:id="37" w:name="_Toc13744"/>
      <w:bookmarkStart w:id="38" w:name="_Toc13775_WPSOffice_Level1"/>
      <w:r>
        <w:rPr>
          <w:rFonts w:hint="eastAsia" w:ascii="黑体" w:hAnsi="黑体" w:eastAsia="黑体" w:cs="黑体"/>
          <w:szCs w:val="30"/>
        </w:rPr>
        <w:t>一、基本情况</w:t>
      </w:r>
      <w:bookmarkEnd w:id="37"/>
      <w:bookmarkEnd w:id="38"/>
    </w:p>
    <w:p>
      <w:pPr>
        <w:spacing w:line="579" w:lineRule="exact"/>
        <w:ind w:firstLine="630" w:firstLineChars="200"/>
        <w:rPr>
          <w:rFonts w:hAnsi="仿宋"/>
          <w:szCs w:val="30"/>
        </w:rPr>
      </w:pPr>
      <w:r>
        <w:rPr>
          <w:rFonts w:hint="eastAsia"/>
        </w:rPr>
        <w:t>根据《红塔区稳增长及重点项目建设汇报会议纪要》（2</w:t>
      </w:r>
      <w:r>
        <w:t>017</w:t>
      </w:r>
      <w:r>
        <w:rPr>
          <w:rFonts w:hint="eastAsia"/>
        </w:rPr>
        <w:t>年第9</w:t>
      </w:r>
      <w:r>
        <w:t>9</w:t>
      </w:r>
      <w:r>
        <w:rPr>
          <w:rFonts w:hint="eastAsia"/>
        </w:rPr>
        <w:t>期）精神，为进一步优化城乡面貌，增加城市色彩，切实提高城乡环境的质量和品味，打造特色鲜明，生态自然的“花城”景观，建设生态宜居幸福玉溪，于2017年设立了玉溪市中心城区“花城”景观建设项目。</w:t>
      </w:r>
      <w:r>
        <w:rPr>
          <w:rFonts w:hint="eastAsia" w:hAnsi="仿宋"/>
          <w:szCs w:val="30"/>
        </w:rPr>
        <w:t>该项目分为四个标段实施。</w:t>
      </w:r>
      <w:r>
        <w:rPr>
          <w:rFonts w:hint="eastAsia"/>
        </w:rPr>
        <w:t>截止评价日，</w:t>
      </w:r>
      <w:r>
        <w:rPr>
          <w:rFonts w:hint="eastAsia" w:hAnsi="仿宋"/>
          <w:szCs w:val="30"/>
        </w:rPr>
        <w:t>一、二、三标段项目已实施完成并通过初验，目前工程施工还剩一个标段未完成。</w:t>
      </w:r>
    </w:p>
    <w:p>
      <w:pPr>
        <w:overflowPunct w:val="0"/>
        <w:spacing w:line="579" w:lineRule="exact"/>
        <w:ind w:firstLine="629"/>
        <w:rPr>
          <w:rFonts w:ascii="黑体" w:hAnsi="黑体" w:eastAsia="黑体"/>
          <w:szCs w:val="30"/>
        </w:rPr>
      </w:pPr>
      <w:bookmarkStart w:id="39" w:name="_Toc27888_WPSOffice_Level1"/>
      <w:r>
        <w:rPr>
          <w:rFonts w:hint="eastAsia" w:ascii="黑体" w:hAnsi="黑体" w:eastAsia="黑体"/>
          <w:szCs w:val="30"/>
        </w:rPr>
        <w:t>二、绩效再评价结论</w:t>
      </w:r>
      <w:bookmarkEnd w:id="39"/>
    </w:p>
    <w:p>
      <w:pPr>
        <w:spacing w:line="579" w:lineRule="exact"/>
        <w:ind w:firstLine="630" w:firstLineChars="200"/>
      </w:pPr>
      <w:r>
        <w:rPr>
          <w:rFonts w:hint="eastAsia"/>
        </w:rPr>
        <w:t>玉溪市中心城区“花城”景观建设市级补助资金项目绩效再评价得分</w:t>
      </w:r>
      <w:r>
        <w:t>62.10</w:t>
      </w:r>
      <w:r>
        <w:rPr>
          <w:rFonts w:hint="eastAsia"/>
        </w:rPr>
        <w:t>分，评价等级为“中”。</w:t>
      </w:r>
    </w:p>
    <w:p>
      <w:pPr>
        <w:spacing w:line="579" w:lineRule="exact"/>
        <w:ind w:firstLine="630" w:firstLineChars="200"/>
        <w:rPr>
          <w:rFonts w:ascii="黑体" w:hAnsi="黑体" w:eastAsia="黑体"/>
          <w:szCs w:val="30"/>
        </w:rPr>
      </w:pPr>
      <w:bookmarkStart w:id="40" w:name="_Toc28112_WPSOffice_Level1"/>
      <w:r>
        <w:rPr>
          <w:rFonts w:hint="eastAsia" w:ascii="黑体" w:hAnsi="黑体" w:eastAsia="黑体"/>
          <w:szCs w:val="30"/>
        </w:rPr>
        <w:t>三、资金安排及使用情况</w:t>
      </w:r>
      <w:bookmarkEnd w:id="40"/>
    </w:p>
    <w:p>
      <w:pPr>
        <w:spacing w:line="579" w:lineRule="exact"/>
        <w:ind w:firstLine="630" w:firstLineChars="200"/>
      </w:pPr>
      <w:r>
        <w:rPr>
          <w:rFonts w:hint="eastAsia" w:hAnsi="仿宋"/>
          <w:szCs w:val="30"/>
        </w:rPr>
        <w:t>玉溪市中心城区“花城”景观建设市级补助资金项目市级补助资金安排2</w:t>
      </w:r>
      <w:r>
        <w:rPr>
          <w:rFonts w:hAnsi="仿宋"/>
          <w:szCs w:val="30"/>
        </w:rPr>
        <w:t>000</w:t>
      </w:r>
      <w:r>
        <w:rPr>
          <w:rFonts w:hint="eastAsia" w:hAnsi="仿宋"/>
          <w:szCs w:val="30"/>
        </w:rPr>
        <w:t>万元，高新区配套到位资金5</w:t>
      </w:r>
      <w:r>
        <w:rPr>
          <w:rFonts w:hAnsi="仿宋"/>
          <w:szCs w:val="30"/>
        </w:rPr>
        <w:t>26</w:t>
      </w:r>
      <w:r>
        <w:rPr>
          <w:rFonts w:hint="eastAsia" w:hAnsi="仿宋"/>
          <w:szCs w:val="30"/>
        </w:rPr>
        <w:t>万元，共计2</w:t>
      </w:r>
      <w:r>
        <w:rPr>
          <w:rFonts w:hAnsi="仿宋"/>
          <w:szCs w:val="30"/>
        </w:rPr>
        <w:t>526</w:t>
      </w:r>
      <w:r>
        <w:rPr>
          <w:rFonts w:hint="eastAsia" w:hAnsi="仿宋"/>
          <w:szCs w:val="30"/>
        </w:rPr>
        <w:t>万元。项目实际使用资金2040万元，资金使用率为80.76%。</w:t>
      </w:r>
    </w:p>
    <w:p>
      <w:pPr>
        <w:spacing w:line="579" w:lineRule="exact"/>
        <w:ind w:firstLine="630" w:firstLineChars="200"/>
        <w:rPr>
          <w:rFonts w:ascii="黑体" w:hAnsi="黑体" w:eastAsia="黑体"/>
          <w:szCs w:val="30"/>
        </w:rPr>
      </w:pPr>
      <w:bookmarkStart w:id="41" w:name="_Toc8151_WPSOffice_Level1"/>
      <w:bookmarkStart w:id="42" w:name="_Toc22514"/>
      <w:r>
        <w:rPr>
          <w:rFonts w:hint="eastAsia" w:ascii="黑体" w:hAnsi="黑体" w:eastAsia="黑体"/>
          <w:szCs w:val="30"/>
        </w:rPr>
        <w:t>四、项目存在问题</w:t>
      </w:r>
      <w:bookmarkEnd w:id="41"/>
      <w:bookmarkEnd w:id="42"/>
    </w:p>
    <w:p>
      <w:pPr>
        <w:spacing w:line="579" w:lineRule="exact"/>
        <w:ind w:firstLine="563" w:firstLineChars="179"/>
        <w:rPr>
          <w:rFonts w:ascii="楷体" w:hAnsi="楷体" w:eastAsia="楷体" w:cs="楷体"/>
          <w:kern w:val="2"/>
          <w:szCs w:val="30"/>
        </w:rPr>
      </w:pPr>
      <w:bookmarkStart w:id="43" w:name="_Toc13775_WPSOffice_Level2"/>
      <w:r>
        <w:rPr>
          <w:rFonts w:hint="eastAsia" w:ascii="楷体" w:hAnsi="楷体" w:eastAsia="楷体" w:cs="楷体"/>
          <w:kern w:val="2"/>
          <w:szCs w:val="30"/>
        </w:rPr>
        <w:t>（一）项目组织实施不明确、制度保障不到位</w:t>
      </w:r>
      <w:bookmarkEnd w:id="43"/>
    </w:p>
    <w:p>
      <w:pPr>
        <w:spacing w:line="579" w:lineRule="exact"/>
        <w:ind w:firstLine="630" w:firstLineChars="200"/>
        <w:rPr>
          <w:rFonts w:hAnsi="仿宋"/>
          <w:szCs w:val="30"/>
        </w:rPr>
      </w:pPr>
      <w:r>
        <w:rPr>
          <w:rFonts w:hint="eastAsia" w:hAnsi="仿宋"/>
          <w:szCs w:val="30"/>
        </w:rPr>
        <w:t>评价中，无具体的文件明确项目组织实施各方职责，项目分工不够明确，实际实施过程中各方责任不清晰。由于缺乏有效的制度保障、完善的项目组织管理，导致各方在项目建设中的主要责任不明确，资金到位不及时，建设过程中的协同机制执行不到位。</w:t>
      </w:r>
    </w:p>
    <w:p>
      <w:pPr>
        <w:spacing w:line="579" w:lineRule="exact"/>
        <w:ind w:firstLine="563" w:firstLineChars="179"/>
        <w:rPr>
          <w:rFonts w:ascii="楷体" w:hAnsi="楷体" w:eastAsia="楷体" w:cs="楷体"/>
          <w:kern w:val="2"/>
          <w:szCs w:val="30"/>
        </w:rPr>
      </w:pPr>
      <w:bookmarkStart w:id="44" w:name="_Toc27888_WPSOffice_Level2"/>
      <w:r>
        <w:rPr>
          <w:rFonts w:hint="eastAsia" w:ascii="楷体" w:hAnsi="楷体" w:eastAsia="楷体" w:cs="楷体"/>
          <w:kern w:val="2"/>
          <w:szCs w:val="30"/>
        </w:rPr>
        <w:t>（二）前期工作不充分，资金缺口大、项目滞后</w:t>
      </w:r>
      <w:bookmarkEnd w:id="44"/>
    </w:p>
    <w:p>
      <w:pPr>
        <w:spacing w:line="579" w:lineRule="exact"/>
        <w:ind w:firstLine="630" w:firstLineChars="200"/>
        <w:rPr>
          <w:rFonts w:hAnsi="仿宋"/>
          <w:szCs w:val="30"/>
        </w:rPr>
      </w:pPr>
      <w:r>
        <w:rPr>
          <w:rFonts w:hint="eastAsia" w:hAnsi="仿宋"/>
          <w:szCs w:val="30"/>
        </w:rPr>
        <w:t>目前为止项目总投资约9000万元，到位资金无法足额支付已完工项目的工程款，2</w:t>
      </w:r>
      <w:r>
        <w:rPr>
          <w:rFonts w:hAnsi="仿宋"/>
          <w:szCs w:val="30"/>
        </w:rPr>
        <w:t>018</w:t>
      </w:r>
      <w:r>
        <w:rPr>
          <w:rFonts w:hint="eastAsia" w:hAnsi="仿宋"/>
          <w:szCs w:val="30"/>
        </w:rPr>
        <w:t>年县（区）级配套资金仅到位</w:t>
      </w:r>
      <w:r>
        <w:rPr>
          <w:rFonts w:hAnsi="仿宋"/>
          <w:szCs w:val="30"/>
        </w:rPr>
        <w:t>39.45</w:t>
      </w:r>
      <w:r>
        <w:rPr>
          <w:rFonts w:hint="eastAsia" w:hAnsi="仿宋"/>
          <w:szCs w:val="30"/>
        </w:rPr>
        <w:t>%，截止评价日，项目缺口资金高达</w:t>
      </w:r>
      <w:r>
        <w:rPr>
          <w:rFonts w:hAnsi="仿宋"/>
          <w:szCs w:val="30"/>
        </w:rPr>
        <w:t>807.33</w:t>
      </w:r>
      <w:r>
        <w:rPr>
          <w:rFonts w:hint="eastAsia" w:hAnsi="仿宋"/>
          <w:szCs w:val="30"/>
        </w:rPr>
        <w:t>万元；项目进度方面，文件要求5</w:t>
      </w:r>
      <w:r>
        <w:rPr>
          <w:rFonts w:hAnsi="仿宋"/>
          <w:szCs w:val="30"/>
        </w:rPr>
        <w:t>0</w:t>
      </w:r>
      <w:r>
        <w:rPr>
          <w:rFonts w:hint="eastAsia" w:hAnsi="仿宋"/>
          <w:szCs w:val="30"/>
        </w:rPr>
        <w:t>天的工期，实际工期超出原定工期成几何倍数，截止评价日，项目实施工期已达</w:t>
      </w:r>
      <w:r>
        <w:rPr>
          <w:rFonts w:hAnsi="仿宋"/>
          <w:szCs w:val="30"/>
        </w:rPr>
        <w:t>577</w:t>
      </w:r>
      <w:r>
        <w:rPr>
          <w:rFonts w:hint="eastAsia" w:hAnsi="仿宋"/>
          <w:szCs w:val="30"/>
        </w:rPr>
        <w:t>天，但项目完成率仅为75%；实际项目建设效果与“日日有花开、月月有特色、季季有变化”的建设目标差距甚远。</w:t>
      </w:r>
    </w:p>
    <w:p>
      <w:pPr>
        <w:spacing w:line="579" w:lineRule="exact"/>
        <w:ind w:firstLine="563" w:firstLineChars="179"/>
        <w:rPr>
          <w:rFonts w:ascii="楷体" w:hAnsi="楷体" w:eastAsia="楷体" w:cs="楷体"/>
          <w:kern w:val="2"/>
          <w:szCs w:val="30"/>
        </w:rPr>
      </w:pPr>
      <w:bookmarkStart w:id="45" w:name="_Toc28112_WPSOffice_Level2"/>
      <w:r>
        <w:rPr>
          <w:rFonts w:hint="eastAsia" w:ascii="楷体" w:hAnsi="楷体" w:eastAsia="楷体" w:cs="楷体"/>
          <w:kern w:val="2"/>
          <w:szCs w:val="30"/>
        </w:rPr>
        <w:t>（三）建成内容与批复相差较大，过程管理不尽规范</w:t>
      </w:r>
      <w:bookmarkEnd w:id="45"/>
    </w:p>
    <w:p>
      <w:pPr>
        <w:spacing w:line="579" w:lineRule="exact"/>
        <w:ind w:firstLine="630" w:firstLineChars="200"/>
        <w:rPr>
          <w:rFonts w:hAnsi="仿宋"/>
          <w:szCs w:val="30"/>
        </w:rPr>
      </w:pPr>
      <w:r>
        <w:rPr>
          <w:rFonts w:hint="eastAsia" w:hAnsi="仿宋"/>
          <w:szCs w:val="30"/>
        </w:rPr>
        <w:t>截止评价日，项目四个标段中仍有一个标段未实施，且完成的三个标段中建成内容与批复内容差距较大，包括建设的类别、数量等，如批复中护栏容器、中央隔离栏未实施。</w:t>
      </w:r>
    </w:p>
    <w:p>
      <w:pPr>
        <w:spacing w:line="579" w:lineRule="exact"/>
        <w:ind w:firstLine="563" w:firstLineChars="179"/>
        <w:rPr>
          <w:rFonts w:ascii="楷体" w:hAnsi="楷体" w:eastAsia="楷体" w:cs="楷体"/>
          <w:kern w:val="2"/>
          <w:szCs w:val="30"/>
        </w:rPr>
      </w:pPr>
      <w:bookmarkStart w:id="46" w:name="_Toc8151_WPSOffice_Level2"/>
      <w:r>
        <w:rPr>
          <w:rFonts w:hint="eastAsia" w:ascii="楷体" w:hAnsi="楷体" w:eastAsia="楷体" w:cs="楷体"/>
          <w:kern w:val="2"/>
          <w:szCs w:val="30"/>
        </w:rPr>
        <w:t>（四）预算绩效管理水平有待提高</w:t>
      </w:r>
      <w:bookmarkEnd w:id="46"/>
    </w:p>
    <w:p>
      <w:pPr>
        <w:spacing w:line="579" w:lineRule="exact"/>
        <w:ind w:firstLine="630" w:firstLineChars="200"/>
        <w:rPr>
          <w:rFonts w:hAnsi="仿宋"/>
          <w:szCs w:val="30"/>
        </w:rPr>
      </w:pPr>
      <w:r>
        <w:rPr>
          <w:rFonts w:hint="eastAsia" w:hAnsi="仿宋"/>
          <w:szCs w:val="30"/>
        </w:rPr>
        <w:t>项目绩效管理水平不高，主要表现在以下几个方面：一是项目资金申请中没有配套相应绩效目标，对项目建成后所需达到的产出、效果不明确；二是项目宏观目标与资金量不匹配，项目批复资金仅能满足项目实施完成，要想达到“日日有花开、月月有特色、季季有变化”的“花城”景观效果需要大量后续维护及管养工作；三是未严格按照要求开展绩效自评工作，自评报告得分为满分与项目实施实际情况不相符，且未及时上报项目自评报告。</w:t>
      </w:r>
    </w:p>
    <w:p>
      <w:pPr>
        <w:spacing w:line="579" w:lineRule="exact"/>
        <w:ind w:firstLine="630" w:firstLineChars="200"/>
        <w:rPr>
          <w:rFonts w:ascii="黑体" w:hAnsi="黑体" w:eastAsia="黑体"/>
          <w:szCs w:val="30"/>
        </w:rPr>
      </w:pPr>
      <w:bookmarkStart w:id="47" w:name="_Toc13693_WPSOffice_Level1"/>
      <w:r>
        <w:rPr>
          <w:rFonts w:hint="eastAsia" w:ascii="黑体" w:hAnsi="黑体" w:eastAsia="黑体"/>
          <w:szCs w:val="30"/>
        </w:rPr>
        <w:t>五、建议</w:t>
      </w:r>
      <w:bookmarkEnd w:id="47"/>
    </w:p>
    <w:p>
      <w:pPr>
        <w:spacing w:line="579" w:lineRule="exact"/>
        <w:ind w:firstLine="563" w:firstLineChars="179"/>
        <w:rPr>
          <w:rFonts w:ascii="楷体" w:hAnsi="楷体" w:eastAsia="楷体"/>
          <w:szCs w:val="30"/>
        </w:rPr>
        <w:sectPr>
          <w:footerReference r:id="rId4" w:type="default"/>
          <w:footerReference r:id="rId5" w:type="even"/>
          <w:pgSz w:w="11906" w:h="16838"/>
          <w:pgMar w:top="2098" w:right="1474" w:bottom="1985" w:left="1588" w:header="851" w:footer="1474" w:gutter="0"/>
          <w:pgNumType w:fmt="lowerRoman" w:start="1"/>
          <w:cols w:space="425" w:num="1"/>
          <w:docGrid w:type="linesAndChars" w:linePitch="579" w:charSpace="3247"/>
        </w:sectPr>
      </w:pPr>
    </w:p>
    <w:p>
      <w:pPr>
        <w:spacing w:line="579" w:lineRule="exact"/>
        <w:ind w:firstLine="563" w:firstLineChars="179"/>
        <w:rPr>
          <w:rFonts w:ascii="楷体" w:hAnsi="楷体" w:eastAsia="楷体" w:cs="楷体"/>
          <w:kern w:val="2"/>
          <w:szCs w:val="30"/>
        </w:rPr>
      </w:pPr>
      <w:bookmarkStart w:id="48" w:name="_Toc13693_WPSOffice_Level2"/>
      <w:r>
        <w:rPr>
          <w:rFonts w:hint="eastAsia" w:ascii="楷体" w:hAnsi="楷体" w:eastAsia="楷体"/>
          <w:szCs w:val="30"/>
        </w:rPr>
        <w:t>（一）制度先行，压实责任</w:t>
      </w:r>
      <w:bookmarkEnd w:id="48"/>
    </w:p>
    <w:p>
      <w:pPr>
        <w:spacing w:line="579" w:lineRule="exact"/>
        <w:ind w:firstLine="563" w:firstLineChars="179"/>
        <w:rPr>
          <w:rFonts w:ascii="楷体" w:hAnsi="楷体" w:eastAsia="楷体" w:cs="楷体"/>
          <w:kern w:val="2"/>
          <w:szCs w:val="30"/>
        </w:rPr>
      </w:pPr>
      <w:bookmarkStart w:id="49" w:name="_Toc21576_WPSOffice_Level2"/>
      <w:r>
        <w:rPr>
          <w:rFonts w:hint="eastAsia" w:ascii="楷体" w:hAnsi="楷体" w:eastAsia="楷体" w:cs="楷体"/>
          <w:kern w:val="2"/>
          <w:szCs w:val="30"/>
        </w:rPr>
        <w:t>（二）加强项目前期工作，保障项目实施效果</w:t>
      </w:r>
      <w:bookmarkEnd w:id="49"/>
    </w:p>
    <w:p>
      <w:pPr>
        <w:spacing w:line="579" w:lineRule="exact"/>
        <w:ind w:firstLine="563" w:firstLineChars="179"/>
        <w:rPr>
          <w:rFonts w:ascii="楷体" w:hAnsi="楷体" w:eastAsia="楷体" w:cs="楷体"/>
          <w:kern w:val="2"/>
          <w:szCs w:val="30"/>
        </w:rPr>
      </w:pPr>
      <w:bookmarkStart w:id="50" w:name="_Toc28643_WPSOffice_Level2"/>
      <w:r>
        <w:rPr>
          <w:rFonts w:hint="eastAsia" w:ascii="楷体" w:hAnsi="楷体" w:eastAsia="楷体" w:cs="楷体"/>
          <w:kern w:val="2"/>
          <w:szCs w:val="30"/>
        </w:rPr>
        <w:t>（三）强化过程管理，规范项目实施</w:t>
      </w:r>
      <w:bookmarkEnd w:id="50"/>
    </w:p>
    <w:p>
      <w:pPr>
        <w:spacing w:line="579" w:lineRule="exact"/>
        <w:ind w:firstLine="563" w:firstLineChars="179"/>
        <w:rPr>
          <w:rFonts w:ascii="楷体" w:hAnsi="楷体" w:eastAsia="楷体" w:cs="楷体"/>
          <w:kern w:val="2"/>
          <w:szCs w:val="30"/>
        </w:rPr>
      </w:pPr>
      <w:bookmarkStart w:id="51" w:name="_Toc12173_WPSOffice_Level2"/>
      <w:r>
        <w:rPr>
          <w:rFonts w:hint="eastAsia" w:ascii="楷体" w:hAnsi="楷体" w:eastAsia="楷体"/>
          <w:szCs w:val="30"/>
        </w:rPr>
        <w:t>（四）强化预算绩效管理意识，提高预算绩效管理水平</w:t>
      </w:r>
      <w:bookmarkEnd w:id="51"/>
    </w:p>
    <w:p>
      <w:pPr>
        <w:spacing w:line="579" w:lineRule="exact"/>
        <w:rPr>
          <w:rFonts w:ascii="方正小标宋简体" w:eastAsia="方正小标宋简体"/>
          <w:sz w:val="44"/>
          <w:szCs w:val="44"/>
        </w:rPr>
      </w:pPr>
    </w:p>
    <w:p>
      <w:pPr>
        <w:spacing w:line="579" w:lineRule="exact"/>
        <w:rPr>
          <w:rFonts w:ascii="方正小标宋简体" w:eastAsia="方正小标宋简体"/>
          <w:sz w:val="44"/>
          <w:szCs w:val="44"/>
        </w:rPr>
      </w:pPr>
    </w:p>
    <w:p>
      <w:pPr>
        <w:spacing w:line="579" w:lineRule="exact"/>
        <w:rPr>
          <w:rFonts w:ascii="方正小标宋简体" w:eastAsia="方正小标宋简体"/>
          <w:sz w:val="44"/>
          <w:szCs w:val="44"/>
        </w:rPr>
        <w:sectPr>
          <w:footerReference r:id="rId6" w:type="default"/>
          <w:footerReference r:id="rId7" w:type="even"/>
          <w:pgSz w:w="11906" w:h="16838"/>
          <w:pgMar w:top="2098" w:right="1474" w:bottom="1985" w:left="1588" w:header="851" w:footer="1474" w:gutter="0"/>
          <w:pgNumType w:fmt="lowerRoman" w:start="1"/>
          <w:cols w:space="425" w:num="1"/>
          <w:docGrid w:type="linesAndChars" w:linePitch="579" w:charSpace="3247"/>
        </w:sectPr>
      </w:pPr>
    </w:p>
    <w:p>
      <w:pPr>
        <w:spacing w:line="579" w:lineRule="exact"/>
        <w:jc w:val="center"/>
        <w:rPr>
          <w:rFonts w:ascii="方正小标宋简体" w:eastAsia="方正小标宋简体"/>
          <w:sz w:val="44"/>
          <w:szCs w:val="44"/>
        </w:rPr>
      </w:pPr>
      <w:bookmarkStart w:id="52" w:name="_Toc21576_WPSOffice_Level1"/>
      <w:bookmarkStart w:id="53" w:name="_Toc4554_WPSOffice_Level1"/>
      <w:r>
        <w:rPr>
          <w:rFonts w:hint="eastAsia" w:ascii="方正小标宋简体" w:hAnsi="方正小标宋简体" w:eastAsia="方正小标宋简体" w:cs="方正小标宋简体"/>
          <w:kern w:val="40"/>
          <w:sz w:val="44"/>
          <w:szCs w:val="44"/>
        </w:rPr>
        <w:t>玉溪市中心城区“花城”景观建设市级补助资金</w:t>
      </w:r>
      <w:r>
        <w:rPr>
          <w:rFonts w:hint="eastAsia" w:ascii="方正小标宋简体" w:eastAsia="方正小标宋简体"/>
          <w:sz w:val="44"/>
          <w:szCs w:val="44"/>
        </w:rPr>
        <w:t>项目绩效再评价报告</w:t>
      </w:r>
      <w:bookmarkEnd w:id="52"/>
      <w:bookmarkEnd w:id="53"/>
    </w:p>
    <w:p>
      <w:pPr>
        <w:spacing w:line="579" w:lineRule="exact"/>
        <w:rPr>
          <w:rFonts w:hAnsi="仿宋"/>
          <w:sz w:val="36"/>
          <w:szCs w:val="36"/>
        </w:rPr>
      </w:pPr>
    </w:p>
    <w:p>
      <w:pPr>
        <w:spacing w:line="579" w:lineRule="exact"/>
        <w:ind w:firstLine="630" w:firstLineChars="200"/>
        <w:rPr>
          <w:rFonts w:hAnsi="仿宋"/>
          <w:szCs w:val="30"/>
        </w:rPr>
      </w:pPr>
      <w:r>
        <w:rPr>
          <w:rFonts w:hint="eastAsia" w:hAnsi="仿宋"/>
          <w:szCs w:val="30"/>
        </w:rPr>
        <w:t>根据《玉溪市财政局关于开展2019年预算支出绩效再评价工作的通知》（玉财投〔2019〕9号）、《玉溪市财政局关于玉溪市市级财政支出预算绩效评价操作规程（试行）的通知》（</w:t>
      </w:r>
      <w:r>
        <w:rPr>
          <w:rFonts w:hAnsi="仿宋"/>
          <w:szCs w:val="30"/>
        </w:rPr>
        <w:t xml:space="preserve">玉财投〔2018〕1号 </w:t>
      </w:r>
      <w:r>
        <w:rPr>
          <w:rFonts w:hint="eastAsia" w:hAnsi="仿宋"/>
          <w:szCs w:val="30"/>
        </w:rPr>
        <w:t>）的要求，我公司受玉溪市财政局投资合作中心委托，于</w:t>
      </w:r>
      <w:r>
        <w:rPr>
          <w:rFonts w:hAnsi="仿宋"/>
          <w:szCs w:val="30"/>
        </w:rPr>
        <w:t>2019</w:t>
      </w:r>
      <w:r>
        <w:rPr>
          <w:rFonts w:hint="eastAsia" w:hAnsi="仿宋"/>
          <w:szCs w:val="30"/>
        </w:rPr>
        <w:t>年</w:t>
      </w:r>
      <w:r>
        <w:rPr>
          <w:rFonts w:hAnsi="仿宋"/>
          <w:szCs w:val="30"/>
        </w:rPr>
        <w:t>7</w:t>
      </w:r>
      <w:r>
        <w:rPr>
          <w:rFonts w:hint="eastAsia" w:hAnsi="仿宋"/>
          <w:szCs w:val="30"/>
        </w:rPr>
        <w:t>月至</w:t>
      </w:r>
      <w:r>
        <w:rPr>
          <w:rFonts w:hAnsi="仿宋"/>
          <w:szCs w:val="30"/>
        </w:rPr>
        <w:t>2019</w:t>
      </w:r>
      <w:r>
        <w:rPr>
          <w:rFonts w:hint="eastAsia" w:hAnsi="仿宋"/>
          <w:szCs w:val="30"/>
        </w:rPr>
        <w:t>年</w:t>
      </w:r>
      <w:r>
        <w:rPr>
          <w:rFonts w:hAnsi="仿宋"/>
          <w:szCs w:val="30"/>
        </w:rPr>
        <w:t>9</w:t>
      </w:r>
      <w:r>
        <w:rPr>
          <w:rFonts w:hint="eastAsia" w:hAnsi="仿宋"/>
          <w:szCs w:val="30"/>
        </w:rPr>
        <w:t>月对玉溪市中心城区“花城”景观建设市级补助资金项目开展绩效再评价。现将再评价情况报告如下：</w:t>
      </w:r>
    </w:p>
    <w:p>
      <w:pPr>
        <w:spacing w:line="579" w:lineRule="exact"/>
        <w:ind w:firstLine="630" w:firstLineChars="200"/>
        <w:outlineLvl w:val="0"/>
        <w:rPr>
          <w:rFonts w:ascii="黑体" w:hAnsi="黑体" w:eastAsia="黑体" w:cs="宋体"/>
          <w:szCs w:val="30"/>
        </w:rPr>
      </w:pPr>
      <w:bookmarkStart w:id="54" w:name="_Toc18250868"/>
      <w:bookmarkStart w:id="55" w:name="_Toc30094_WPSOffice_Level1"/>
      <w:bookmarkStart w:id="56" w:name="_Toc28643_WPSOffice_Level1"/>
      <w:r>
        <w:rPr>
          <w:rFonts w:hint="eastAsia" w:ascii="黑体" w:hAnsi="黑体" w:eastAsia="黑体" w:cs="宋体"/>
          <w:szCs w:val="30"/>
        </w:rPr>
        <w:t>一、基本情况</w:t>
      </w:r>
      <w:bookmarkEnd w:id="54"/>
      <w:bookmarkEnd w:id="55"/>
      <w:bookmarkEnd w:id="56"/>
    </w:p>
    <w:p>
      <w:pPr>
        <w:spacing w:line="579" w:lineRule="exact"/>
        <w:ind w:firstLine="630" w:firstLineChars="200"/>
        <w:outlineLvl w:val="1"/>
        <w:rPr>
          <w:rFonts w:ascii="楷体" w:hAnsi="楷体" w:eastAsia="楷体"/>
          <w:szCs w:val="30"/>
        </w:rPr>
      </w:pPr>
      <w:bookmarkStart w:id="57" w:name="_Toc2508_WPSOffice_Level2"/>
      <w:bookmarkStart w:id="58" w:name="_Toc30094_WPSOffice_Level2"/>
      <w:bookmarkStart w:id="59" w:name="_Toc18250869"/>
      <w:r>
        <w:rPr>
          <w:rFonts w:hint="eastAsia" w:ascii="楷体" w:hAnsi="楷体" w:eastAsia="楷体"/>
          <w:szCs w:val="30"/>
        </w:rPr>
        <w:t>（一）项目设立背景</w:t>
      </w:r>
      <w:bookmarkEnd w:id="57"/>
      <w:bookmarkEnd w:id="58"/>
      <w:bookmarkEnd w:id="59"/>
    </w:p>
    <w:p>
      <w:pPr>
        <w:spacing w:line="579" w:lineRule="exact"/>
        <w:ind w:firstLine="630" w:firstLineChars="200"/>
      </w:pPr>
      <w:r>
        <w:rPr>
          <w:rFonts w:hint="eastAsia"/>
        </w:rPr>
        <w:t>根据《红塔区稳增长及重点项目建设汇报会议纪要》（2</w:t>
      </w:r>
      <w:r>
        <w:t>017</w:t>
      </w:r>
      <w:r>
        <w:rPr>
          <w:rFonts w:hint="eastAsia"/>
        </w:rPr>
        <w:t>年第9</w:t>
      </w:r>
      <w:r>
        <w:t>9</w:t>
      </w:r>
      <w:r>
        <w:rPr>
          <w:rFonts w:hint="eastAsia"/>
        </w:rPr>
        <w:t>期）精神，为进一步优化城乡面貌，增加城市色彩，切实提高城乡环境的质量和品味，打造特色鲜明，生态自然的“花城”景观，建设生态宜居幸福玉溪，于2017年设立了玉溪市中心城区“花城”景观建设项目。</w:t>
      </w:r>
    </w:p>
    <w:p>
      <w:pPr>
        <w:spacing w:line="579" w:lineRule="exact"/>
        <w:ind w:firstLine="630" w:firstLineChars="200"/>
        <w:outlineLvl w:val="1"/>
        <w:rPr>
          <w:rFonts w:ascii="楷体" w:hAnsi="楷体" w:eastAsia="楷体"/>
          <w:szCs w:val="30"/>
        </w:rPr>
      </w:pPr>
      <w:bookmarkStart w:id="60" w:name="_Toc18250870"/>
      <w:bookmarkStart w:id="61" w:name="_Toc32078_WPSOffice_Level2"/>
      <w:bookmarkStart w:id="62" w:name="_Toc23276_WPSOffice_Level2"/>
      <w:r>
        <w:rPr>
          <w:rFonts w:hint="eastAsia" w:ascii="楷体" w:hAnsi="楷体" w:eastAsia="楷体"/>
          <w:szCs w:val="30"/>
        </w:rPr>
        <w:t>（二）项目目的、依据</w:t>
      </w:r>
      <w:bookmarkEnd w:id="60"/>
      <w:bookmarkEnd w:id="61"/>
      <w:bookmarkEnd w:id="62"/>
    </w:p>
    <w:p>
      <w:pPr>
        <w:spacing w:line="579" w:lineRule="exact"/>
        <w:ind w:firstLine="630" w:firstLineChars="200"/>
      </w:pPr>
      <w:r>
        <w:rPr>
          <w:rFonts w:hint="eastAsia"/>
        </w:rPr>
        <w:t>根据《玉溪市发展和改革委员会关于玉溪市中心城区“花城”景观建设项目实施方案的批复》（玉发改投资〔201</w:t>
      </w:r>
      <w:r>
        <w:t>7</w:t>
      </w:r>
      <w:r>
        <w:rPr>
          <w:rFonts w:hint="eastAsia"/>
        </w:rPr>
        <w:t>〕</w:t>
      </w:r>
      <w:r>
        <w:t>553</w:t>
      </w:r>
      <w:r>
        <w:rPr>
          <w:rFonts w:hint="eastAsia"/>
        </w:rPr>
        <w:t>号）文件，按照市委、市政府的工作要求，由红塔区人民政府牵头，红塔区城市管理局（以下简称“区城管局”）组织实施，对玉溪市中心城区开展“花城”景观建设。在做好市普遍绿化的基础上，发动社会广泛参与，坚持高起点规划、高水平建设、高标准管理；坚持规划指导，市区联动，建管并举。通过花乔木、花灌木、地被、藤本、彩叶植物、时令花卉合理搭配，营造出“日日有花开、月月有特色、季季有变化”的“花城”景观。</w:t>
      </w:r>
    </w:p>
    <w:p>
      <w:pPr>
        <w:spacing w:line="579" w:lineRule="exact"/>
        <w:ind w:firstLine="630" w:firstLineChars="200"/>
        <w:outlineLvl w:val="1"/>
        <w:rPr>
          <w:rFonts w:ascii="楷体" w:hAnsi="楷体" w:eastAsia="楷体"/>
          <w:szCs w:val="30"/>
        </w:rPr>
      </w:pPr>
      <w:bookmarkStart w:id="63" w:name="_Toc32494_WPSOffice_Level2"/>
      <w:bookmarkStart w:id="64" w:name="_Toc18250871"/>
      <w:bookmarkStart w:id="65" w:name="_Toc29239_WPSOffice_Level2"/>
      <w:r>
        <w:rPr>
          <w:rFonts w:hint="eastAsia" w:ascii="楷体" w:hAnsi="楷体" w:eastAsia="楷体"/>
          <w:szCs w:val="30"/>
        </w:rPr>
        <w:t>（三）资金安排情况</w:t>
      </w:r>
      <w:bookmarkEnd w:id="63"/>
      <w:bookmarkEnd w:id="64"/>
      <w:r>
        <w:rPr>
          <w:rFonts w:hint="eastAsia" w:ascii="楷体" w:hAnsi="楷体" w:eastAsia="楷体"/>
          <w:szCs w:val="30"/>
        </w:rPr>
        <w:t>及使用情况</w:t>
      </w:r>
      <w:bookmarkEnd w:id="65"/>
    </w:p>
    <w:p>
      <w:pPr>
        <w:spacing w:line="579" w:lineRule="exact"/>
        <w:ind w:firstLine="630" w:firstLineChars="200"/>
        <w:rPr>
          <w:rFonts w:hAnsi="仿宋"/>
          <w:szCs w:val="30"/>
        </w:rPr>
      </w:pPr>
      <w:r>
        <w:rPr>
          <w:rFonts w:hint="eastAsia" w:hAnsi="仿宋"/>
          <w:szCs w:val="30"/>
        </w:rPr>
        <w:t>玉溪市中心城区“花城”景观建设项目概算批复总投资为1</w:t>
      </w:r>
      <w:r>
        <w:rPr>
          <w:rFonts w:hAnsi="仿宋"/>
          <w:szCs w:val="30"/>
        </w:rPr>
        <w:t>4108</w:t>
      </w:r>
      <w:r>
        <w:rPr>
          <w:rFonts w:hint="eastAsia" w:hAnsi="仿宋"/>
          <w:szCs w:val="30"/>
        </w:rPr>
        <w:t>万元，2</w:t>
      </w:r>
      <w:r>
        <w:rPr>
          <w:rFonts w:hAnsi="仿宋"/>
          <w:szCs w:val="30"/>
        </w:rPr>
        <w:t>018</w:t>
      </w:r>
      <w:r>
        <w:rPr>
          <w:rFonts w:hint="eastAsia" w:hAnsi="仿宋"/>
          <w:szCs w:val="30"/>
        </w:rPr>
        <w:t>年市级财政补助红塔区2</w:t>
      </w:r>
      <w:r>
        <w:rPr>
          <w:rFonts w:hAnsi="仿宋"/>
          <w:szCs w:val="30"/>
        </w:rPr>
        <w:t>000</w:t>
      </w:r>
      <w:r>
        <w:rPr>
          <w:rFonts w:hint="eastAsia" w:hAnsi="仿宋"/>
          <w:szCs w:val="30"/>
        </w:rPr>
        <w:t>万元，用于中心城区的景观绿化建设。</w:t>
      </w:r>
    </w:p>
    <w:p>
      <w:pPr>
        <w:spacing w:line="579" w:lineRule="exact"/>
        <w:ind w:firstLine="630" w:firstLineChars="200"/>
        <w:rPr>
          <w:rFonts w:hAnsi="仿宋"/>
          <w:szCs w:val="30"/>
        </w:rPr>
      </w:pPr>
      <w:r>
        <w:rPr>
          <w:rFonts w:hint="eastAsia" w:hAnsi="仿宋"/>
          <w:szCs w:val="30"/>
        </w:rPr>
        <w:t>2</w:t>
      </w:r>
      <w:r>
        <w:rPr>
          <w:rFonts w:hAnsi="仿宋"/>
          <w:szCs w:val="30"/>
        </w:rPr>
        <w:t>018</w:t>
      </w:r>
      <w:r>
        <w:rPr>
          <w:rFonts w:hint="eastAsia" w:hAnsi="仿宋"/>
          <w:szCs w:val="30"/>
        </w:rPr>
        <w:t>年9月1</w:t>
      </w:r>
      <w:r>
        <w:rPr>
          <w:rFonts w:hAnsi="仿宋"/>
          <w:szCs w:val="30"/>
        </w:rPr>
        <w:t>2</w:t>
      </w:r>
      <w:r>
        <w:rPr>
          <w:rFonts w:hint="eastAsia" w:hAnsi="仿宋"/>
          <w:szCs w:val="30"/>
        </w:rPr>
        <w:t>日，《玉溪市财政局关于下达2</w:t>
      </w:r>
      <w:r>
        <w:rPr>
          <w:rFonts w:hAnsi="仿宋"/>
          <w:szCs w:val="30"/>
        </w:rPr>
        <w:t>018</w:t>
      </w:r>
      <w:r>
        <w:rPr>
          <w:rFonts w:hint="eastAsia" w:hAnsi="仿宋"/>
          <w:szCs w:val="30"/>
        </w:rPr>
        <w:t>年“花城”景观建设项目市级补助资金的通知》（玉财建〔2018〕163号）下达市级补助资金1</w:t>
      </w:r>
      <w:r>
        <w:rPr>
          <w:rFonts w:hAnsi="仿宋"/>
          <w:szCs w:val="30"/>
        </w:rPr>
        <w:t>000</w:t>
      </w:r>
      <w:r>
        <w:rPr>
          <w:rFonts w:hint="eastAsia" w:hAnsi="仿宋"/>
          <w:szCs w:val="30"/>
        </w:rPr>
        <w:t>万元至红塔区财政局。2</w:t>
      </w:r>
      <w:r>
        <w:rPr>
          <w:rFonts w:hAnsi="仿宋"/>
          <w:szCs w:val="30"/>
        </w:rPr>
        <w:t>018</w:t>
      </w:r>
      <w:r>
        <w:rPr>
          <w:rFonts w:hint="eastAsia" w:hAnsi="仿宋"/>
          <w:szCs w:val="30"/>
        </w:rPr>
        <w:t>年1</w:t>
      </w:r>
      <w:r>
        <w:rPr>
          <w:rFonts w:hAnsi="仿宋"/>
          <w:szCs w:val="30"/>
        </w:rPr>
        <w:t>1</w:t>
      </w:r>
      <w:r>
        <w:rPr>
          <w:rFonts w:hint="eastAsia" w:hAnsi="仿宋"/>
          <w:szCs w:val="30"/>
        </w:rPr>
        <w:t>月1</w:t>
      </w:r>
      <w:r>
        <w:rPr>
          <w:rFonts w:hAnsi="仿宋"/>
          <w:szCs w:val="30"/>
        </w:rPr>
        <w:t>3</w:t>
      </w:r>
      <w:r>
        <w:rPr>
          <w:rFonts w:hint="eastAsia" w:hAnsi="仿宋"/>
          <w:szCs w:val="30"/>
        </w:rPr>
        <w:t>日，《玉溪市财政局关于下达2</w:t>
      </w:r>
      <w:r>
        <w:rPr>
          <w:rFonts w:hAnsi="仿宋"/>
          <w:szCs w:val="30"/>
        </w:rPr>
        <w:t>018</w:t>
      </w:r>
      <w:r>
        <w:rPr>
          <w:rFonts w:hint="eastAsia" w:hAnsi="仿宋"/>
          <w:szCs w:val="30"/>
        </w:rPr>
        <w:t>年“花城”景观建设项目市级补助资金的通知》（玉财建〔2018〕</w:t>
      </w:r>
      <w:r>
        <w:rPr>
          <w:rFonts w:hAnsi="仿宋"/>
          <w:szCs w:val="30"/>
        </w:rPr>
        <w:t>201</w:t>
      </w:r>
      <w:r>
        <w:rPr>
          <w:rFonts w:hint="eastAsia" w:hAnsi="仿宋"/>
          <w:szCs w:val="30"/>
        </w:rPr>
        <w:t>号）下达市级补助资金1</w:t>
      </w:r>
      <w:r>
        <w:rPr>
          <w:rFonts w:hAnsi="仿宋"/>
          <w:szCs w:val="30"/>
        </w:rPr>
        <w:t>000</w:t>
      </w:r>
      <w:r>
        <w:rPr>
          <w:rFonts w:hint="eastAsia" w:hAnsi="仿宋"/>
          <w:szCs w:val="30"/>
        </w:rPr>
        <w:t>万元至红塔区财政局。</w:t>
      </w:r>
    </w:p>
    <w:p>
      <w:pPr>
        <w:spacing w:line="579" w:lineRule="exact"/>
        <w:ind w:firstLine="630" w:firstLineChars="200"/>
        <w:outlineLvl w:val="1"/>
        <w:rPr>
          <w:rFonts w:ascii="楷体" w:hAnsi="楷体" w:eastAsia="楷体"/>
          <w:szCs w:val="30"/>
        </w:rPr>
      </w:pPr>
      <w:bookmarkStart w:id="66" w:name="_Toc18250872"/>
      <w:bookmarkStart w:id="67" w:name="_Toc25243_WPSOffice_Level2"/>
      <w:bookmarkStart w:id="68" w:name="_Toc13060_WPSOffice_Level2"/>
      <w:r>
        <w:rPr>
          <w:rFonts w:hint="eastAsia" w:ascii="楷体" w:hAnsi="楷体" w:eastAsia="楷体"/>
          <w:szCs w:val="30"/>
        </w:rPr>
        <w:t>（四）实施内容</w:t>
      </w:r>
      <w:bookmarkEnd w:id="66"/>
      <w:bookmarkEnd w:id="67"/>
      <w:bookmarkEnd w:id="68"/>
    </w:p>
    <w:p>
      <w:pPr>
        <w:spacing w:line="579" w:lineRule="exact"/>
        <w:ind w:firstLine="630" w:firstLineChars="200"/>
        <w:rPr>
          <w:rFonts w:hAnsi="仿宋"/>
          <w:szCs w:val="30"/>
        </w:rPr>
      </w:pPr>
      <w:r>
        <w:rPr>
          <w:rFonts w:hint="eastAsia" w:hAnsi="仿宋"/>
          <w:szCs w:val="30"/>
        </w:rPr>
        <w:t>本项目建设包括立交及中心城区部分（不含东风路）和黑杨林改造部分。立交及中心城区部分涉及绿地改造面积约9</w:t>
      </w:r>
      <w:r>
        <w:rPr>
          <w:rFonts w:hAnsi="仿宋"/>
          <w:szCs w:val="30"/>
        </w:rPr>
        <w:t>5337</w:t>
      </w:r>
      <w:r>
        <w:rPr>
          <w:rFonts w:hint="eastAsia" w:hAnsi="仿宋"/>
          <w:szCs w:val="30"/>
        </w:rPr>
        <w:t>平方米，道路花容器共计4</w:t>
      </w:r>
      <w:r>
        <w:rPr>
          <w:rFonts w:hAnsi="仿宋"/>
          <w:szCs w:val="30"/>
        </w:rPr>
        <w:t>37</w:t>
      </w:r>
      <w:r>
        <w:rPr>
          <w:rFonts w:hint="eastAsia" w:hAnsi="仿宋"/>
          <w:szCs w:val="30"/>
        </w:rPr>
        <w:t>组，护栏容器共计1</w:t>
      </w:r>
      <w:r>
        <w:rPr>
          <w:rFonts w:hAnsi="仿宋"/>
          <w:szCs w:val="30"/>
        </w:rPr>
        <w:t>737</w:t>
      </w:r>
      <w:r>
        <w:rPr>
          <w:rFonts w:hint="eastAsia" w:hAnsi="仿宋"/>
          <w:szCs w:val="30"/>
        </w:rPr>
        <w:t>组，中央隔离栏为2</w:t>
      </w:r>
      <w:r>
        <w:rPr>
          <w:rFonts w:hAnsi="仿宋"/>
          <w:szCs w:val="30"/>
        </w:rPr>
        <w:t>415</w:t>
      </w:r>
      <w:r>
        <w:rPr>
          <w:rFonts w:hint="eastAsia" w:hAnsi="仿宋"/>
          <w:szCs w:val="30"/>
        </w:rPr>
        <w:t>米；黑杨林改造部分计划改造面积7</w:t>
      </w:r>
      <w:r>
        <w:rPr>
          <w:rFonts w:hAnsi="仿宋"/>
          <w:szCs w:val="30"/>
        </w:rPr>
        <w:t>1007</w:t>
      </w:r>
      <w:r>
        <w:rPr>
          <w:rFonts w:hint="eastAsia" w:hAnsi="仿宋"/>
          <w:szCs w:val="30"/>
        </w:rPr>
        <w:t>平方米，栽植常绿乔木3</w:t>
      </w:r>
      <w:r>
        <w:rPr>
          <w:rFonts w:hAnsi="仿宋"/>
          <w:szCs w:val="30"/>
        </w:rPr>
        <w:t>300</w:t>
      </w:r>
      <w:r>
        <w:rPr>
          <w:rFonts w:hint="eastAsia" w:hAnsi="仿宋"/>
          <w:szCs w:val="30"/>
        </w:rPr>
        <w:t>株，栽植落叶乔木1</w:t>
      </w:r>
      <w:r>
        <w:rPr>
          <w:rFonts w:hAnsi="仿宋"/>
          <w:szCs w:val="30"/>
        </w:rPr>
        <w:t>4206</w:t>
      </w:r>
      <w:r>
        <w:rPr>
          <w:rFonts w:hint="eastAsia" w:hAnsi="仿宋"/>
          <w:szCs w:val="30"/>
        </w:rPr>
        <w:t>株，玉江大道栽植灌木球</w:t>
      </w:r>
      <w:r>
        <w:rPr>
          <w:rFonts w:hAnsi="仿宋"/>
          <w:szCs w:val="30"/>
        </w:rPr>
        <w:t>1431</w:t>
      </w:r>
      <w:r>
        <w:rPr>
          <w:rFonts w:hint="eastAsia" w:hAnsi="仿宋"/>
          <w:szCs w:val="30"/>
        </w:rPr>
        <w:t>株、栽植地被1</w:t>
      </w:r>
      <w:r>
        <w:rPr>
          <w:rFonts w:hAnsi="仿宋"/>
          <w:szCs w:val="30"/>
        </w:rPr>
        <w:t>9697</w:t>
      </w:r>
      <w:r>
        <w:rPr>
          <w:rFonts w:hint="eastAsia" w:hAnsi="仿宋"/>
          <w:szCs w:val="30"/>
        </w:rPr>
        <w:t>平方米、栽植草坪1</w:t>
      </w:r>
      <w:r>
        <w:rPr>
          <w:rFonts w:hAnsi="仿宋"/>
          <w:szCs w:val="30"/>
        </w:rPr>
        <w:t>0816</w:t>
      </w:r>
      <w:r>
        <w:rPr>
          <w:rFonts w:hint="eastAsia" w:hAnsi="仿宋"/>
          <w:szCs w:val="30"/>
        </w:rPr>
        <w:t>平方米。</w:t>
      </w:r>
    </w:p>
    <w:p>
      <w:pPr>
        <w:spacing w:line="579" w:lineRule="exact"/>
        <w:ind w:firstLine="630" w:firstLineChars="200"/>
        <w:outlineLvl w:val="1"/>
        <w:rPr>
          <w:rFonts w:ascii="楷体" w:hAnsi="楷体" w:eastAsia="楷体"/>
          <w:szCs w:val="30"/>
        </w:rPr>
      </w:pPr>
      <w:bookmarkStart w:id="69" w:name="_Toc11206_WPSOffice_Level2"/>
      <w:bookmarkStart w:id="70" w:name="_Toc8481_WPSOffice_Level2"/>
      <w:bookmarkStart w:id="71" w:name="_Toc18250873"/>
      <w:r>
        <w:rPr>
          <w:rFonts w:hint="eastAsia" w:ascii="楷体" w:hAnsi="楷体" w:eastAsia="楷体"/>
          <w:szCs w:val="30"/>
        </w:rPr>
        <w:t>（五）绩效目标设立情况</w:t>
      </w:r>
      <w:bookmarkEnd w:id="69"/>
      <w:bookmarkEnd w:id="70"/>
      <w:bookmarkEnd w:id="71"/>
    </w:p>
    <w:p>
      <w:pPr>
        <w:spacing w:line="579" w:lineRule="exact"/>
        <w:ind w:firstLine="630" w:firstLineChars="200"/>
        <w:rPr>
          <w:rFonts w:hAnsi="仿宋"/>
          <w:szCs w:val="30"/>
        </w:rPr>
      </w:pPr>
      <w:bookmarkStart w:id="72" w:name="_Hlk525314309"/>
      <w:r>
        <w:rPr>
          <w:rFonts w:hint="eastAsia" w:hAnsi="仿宋"/>
          <w:szCs w:val="30"/>
        </w:rPr>
        <w:t>1.项目绩效目标和绩效指标设置情况</w:t>
      </w:r>
    </w:p>
    <w:p>
      <w:pPr>
        <w:spacing w:line="579" w:lineRule="exact"/>
        <w:ind w:firstLine="630" w:firstLineChars="200"/>
        <w:rPr>
          <w:rFonts w:hAnsi="仿宋"/>
          <w:szCs w:val="30"/>
        </w:rPr>
      </w:pPr>
      <w:r>
        <w:rPr>
          <w:rFonts w:hint="eastAsia" w:hAnsi="仿宋"/>
          <w:szCs w:val="30"/>
        </w:rPr>
        <w:t>评价过程中，通过与项目资金主管部门及项目实施单位的确认，该项目资金使用单位年初申报预算时未提交绩效目标和绩效指标；项目实施主体区城管局于2</w:t>
      </w:r>
      <w:r>
        <w:rPr>
          <w:rFonts w:hAnsi="仿宋"/>
          <w:szCs w:val="30"/>
        </w:rPr>
        <w:t>019</w:t>
      </w:r>
      <w:r>
        <w:rPr>
          <w:rFonts w:hint="eastAsia" w:hAnsi="仿宋"/>
          <w:szCs w:val="30"/>
        </w:rPr>
        <w:t>年8月1</w:t>
      </w:r>
      <w:r>
        <w:rPr>
          <w:rFonts w:hAnsi="仿宋"/>
          <w:szCs w:val="30"/>
        </w:rPr>
        <w:t>9</w:t>
      </w:r>
      <w:r>
        <w:rPr>
          <w:rFonts w:hint="eastAsia" w:hAnsi="仿宋"/>
          <w:szCs w:val="30"/>
        </w:rPr>
        <w:t>日提交的项目自评报告中未见项目年初设定的绩效目标。</w:t>
      </w:r>
    </w:p>
    <w:p>
      <w:pPr>
        <w:spacing w:line="579" w:lineRule="exact"/>
        <w:ind w:firstLine="630" w:firstLineChars="200"/>
        <w:rPr>
          <w:rFonts w:hAnsi="仿宋"/>
          <w:szCs w:val="30"/>
        </w:rPr>
      </w:pPr>
      <w:r>
        <w:rPr>
          <w:rFonts w:hint="eastAsia" w:hAnsi="仿宋"/>
          <w:szCs w:val="30"/>
        </w:rPr>
        <w:t>2.绩效再评调整后的绩效目标和绩效指标设置情况</w:t>
      </w:r>
    </w:p>
    <w:bookmarkEnd w:id="72"/>
    <w:p>
      <w:pPr>
        <w:spacing w:line="579" w:lineRule="exact"/>
        <w:ind w:firstLine="630" w:firstLineChars="200"/>
        <w:rPr>
          <w:rFonts w:hAnsi="仿宋"/>
          <w:szCs w:val="30"/>
        </w:rPr>
      </w:pPr>
      <w:r>
        <w:rPr>
          <w:rFonts w:hint="eastAsia" w:hAnsi="仿宋"/>
          <w:szCs w:val="30"/>
        </w:rPr>
        <w:t>项目审批立项后，3</w:t>
      </w:r>
      <w:r>
        <w:rPr>
          <w:rFonts w:hAnsi="仿宋"/>
          <w:szCs w:val="30"/>
        </w:rPr>
        <w:t>5</w:t>
      </w:r>
      <w:r>
        <w:rPr>
          <w:rFonts w:hint="eastAsia" w:hAnsi="仿宋"/>
          <w:szCs w:val="30"/>
        </w:rPr>
        <w:t>日内完成招标，确定施工、监理和造价单位，5</w:t>
      </w:r>
      <w:r>
        <w:rPr>
          <w:rFonts w:hAnsi="仿宋"/>
          <w:szCs w:val="30"/>
        </w:rPr>
        <w:t>0</w:t>
      </w:r>
      <w:r>
        <w:rPr>
          <w:rFonts w:hint="eastAsia" w:hAnsi="仿宋"/>
          <w:szCs w:val="30"/>
        </w:rPr>
        <w:t>日内完成工程建设任务。如期完成立交及中心城区部分涉及绿地改造面积约9</w:t>
      </w:r>
      <w:r>
        <w:rPr>
          <w:rFonts w:hAnsi="仿宋"/>
          <w:szCs w:val="30"/>
        </w:rPr>
        <w:t>5337</w:t>
      </w:r>
      <w:r>
        <w:rPr>
          <w:rFonts w:hint="eastAsia" w:hAnsi="仿宋"/>
          <w:szCs w:val="30"/>
        </w:rPr>
        <w:t>平方米，道路花容器共计4</w:t>
      </w:r>
      <w:r>
        <w:rPr>
          <w:rFonts w:hAnsi="仿宋"/>
          <w:szCs w:val="30"/>
        </w:rPr>
        <w:t>37</w:t>
      </w:r>
      <w:r>
        <w:rPr>
          <w:rFonts w:hint="eastAsia" w:hAnsi="仿宋"/>
          <w:szCs w:val="30"/>
        </w:rPr>
        <w:t>组，护栏容器共计1</w:t>
      </w:r>
      <w:r>
        <w:rPr>
          <w:rFonts w:hAnsi="仿宋"/>
          <w:szCs w:val="30"/>
        </w:rPr>
        <w:t>737</w:t>
      </w:r>
      <w:r>
        <w:rPr>
          <w:rFonts w:hint="eastAsia" w:hAnsi="仿宋"/>
          <w:szCs w:val="30"/>
        </w:rPr>
        <w:t>组，中央隔离栏为2</w:t>
      </w:r>
      <w:r>
        <w:rPr>
          <w:rFonts w:hAnsi="仿宋"/>
          <w:szCs w:val="30"/>
        </w:rPr>
        <w:t>415</w:t>
      </w:r>
      <w:r>
        <w:rPr>
          <w:rFonts w:hint="eastAsia" w:hAnsi="仿宋"/>
          <w:szCs w:val="30"/>
        </w:rPr>
        <w:t>米；如期完成黑杨林改造部分计划改造面积7</w:t>
      </w:r>
      <w:r>
        <w:rPr>
          <w:rFonts w:hAnsi="仿宋"/>
          <w:szCs w:val="30"/>
        </w:rPr>
        <w:t>1007</w:t>
      </w:r>
      <w:r>
        <w:rPr>
          <w:rFonts w:hint="eastAsia" w:hAnsi="仿宋"/>
          <w:szCs w:val="30"/>
        </w:rPr>
        <w:t>平方米，栽植常绿乔木3</w:t>
      </w:r>
      <w:r>
        <w:rPr>
          <w:rFonts w:hAnsi="仿宋"/>
          <w:szCs w:val="30"/>
        </w:rPr>
        <w:t>300</w:t>
      </w:r>
      <w:r>
        <w:rPr>
          <w:rFonts w:hint="eastAsia" w:hAnsi="仿宋"/>
          <w:szCs w:val="30"/>
        </w:rPr>
        <w:t>株，栽植落叶乔木1</w:t>
      </w:r>
      <w:r>
        <w:rPr>
          <w:rFonts w:hAnsi="仿宋"/>
          <w:szCs w:val="30"/>
        </w:rPr>
        <w:t>4206</w:t>
      </w:r>
      <w:r>
        <w:rPr>
          <w:rFonts w:hint="eastAsia" w:hAnsi="仿宋"/>
          <w:szCs w:val="30"/>
        </w:rPr>
        <w:t>株，玉江大道栽植灌木球</w:t>
      </w:r>
      <w:r>
        <w:rPr>
          <w:rFonts w:hAnsi="仿宋"/>
          <w:szCs w:val="30"/>
        </w:rPr>
        <w:t>1431</w:t>
      </w:r>
      <w:r>
        <w:rPr>
          <w:rFonts w:hint="eastAsia" w:hAnsi="仿宋"/>
          <w:szCs w:val="30"/>
        </w:rPr>
        <w:t>株、栽植地被1</w:t>
      </w:r>
      <w:r>
        <w:rPr>
          <w:rFonts w:hAnsi="仿宋"/>
          <w:szCs w:val="30"/>
        </w:rPr>
        <w:t>9697</w:t>
      </w:r>
      <w:r>
        <w:rPr>
          <w:rFonts w:hint="eastAsia" w:hAnsi="仿宋"/>
          <w:szCs w:val="30"/>
        </w:rPr>
        <w:t>平方米、栽植草坪1</w:t>
      </w:r>
      <w:r>
        <w:rPr>
          <w:rFonts w:hAnsi="仿宋"/>
          <w:szCs w:val="30"/>
        </w:rPr>
        <w:t>0816</w:t>
      </w:r>
      <w:r>
        <w:rPr>
          <w:rFonts w:hint="eastAsia" w:hAnsi="仿宋"/>
          <w:szCs w:val="30"/>
        </w:rPr>
        <w:t>平方米。改造面积完成率达1</w:t>
      </w:r>
      <w:r>
        <w:rPr>
          <w:rFonts w:hAnsi="仿宋"/>
          <w:szCs w:val="30"/>
        </w:rPr>
        <w:t>00</w:t>
      </w:r>
      <w:r>
        <w:rPr>
          <w:rFonts w:hint="eastAsia" w:hAnsi="仿宋"/>
          <w:szCs w:val="30"/>
        </w:rPr>
        <w:t>%、种植完成率1</w:t>
      </w:r>
      <w:r>
        <w:rPr>
          <w:rFonts w:hAnsi="仿宋"/>
          <w:szCs w:val="30"/>
        </w:rPr>
        <w:t>00</w:t>
      </w:r>
      <w:r>
        <w:rPr>
          <w:rFonts w:hint="eastAsia" w:hAnsi="仿宋"/>
          <w:szCs w:val="30"/>
        </w:rPr>
        <w:t>%、设置增补完成率1</w:t>
      </w:r>
      <w:r>
        <w:rPr>
          <w:rFonts w:hAnsi="仿宋"/>
          <w:szCs w:val="30"/>
        </w:rPr>
        <w:t>00</w:t>
      </w:r>
      <w:r>
        <w:rPr>
          <w:rFonts w:hint="eastAsia" w:hAnsi="仿宋"/>
          <w:szCs w:val="30"/>
        </w:rPr>
        <w:t>%，各项工作验收合格率达100%。通过立交及中心城区部分绿地改造、道路花容器增布、护栏容器增布、中央隔离栏增布等景观建设；对黑杨林实施全面改造，栽植常绿乔木、落叶乔木，玉江大道栽植灌木球、地被、草坪。市中心整体环境明显改善，苗木存活率达</w:t>
      </w:r>
      <w:r>
        <w:rPr>
          <w:rFonts w:hAnsi="仿宋"/>
          <w:szCs w:val="30"/>
        </w:rPr>
        <w:t>95</w:t>
      </w:r>
      <w:r>
        <w:rPr>
          <w:rFonts w:hint="eastAsia" w:hAnsi="仿宋"/>
          <w:szCs w:val="30"/>
        </w:rPr>
        <w:t>%，建立长期有效的建后景观管养制度，营造出“日日有花开、月月有特色、季季有变化”的效果，实现创建生态园林城市“增绿、增色、增量、增文化”的目标。</w:t>
      </w:r>
    </w:p>
    <w:p>
      <w:pPr>
        <w:spacing w:line="579" w:lineRule="exact"/>
        <w:ind w:firstLine="630" w:firstLineChars="200"/>
        <w:outlineLvl w:val="1"/>
        <w:rPr>
          <w:rFonts w:ascii="楷体_GB2312" w:eastAsia="楷体_GB2312"/>
          <w:szCs w:val="30"/>
        </w:rPr>
      </w:pPr>
      <w:r>
        <w:fldChar w:fldCharType="begin"/>
      </w:r>
      <w:r>
        <w:instrText xml:space="preserve"> HYPERLINK \l "_Toc434746189" </w:instrText>
      </w:r>
      <w:r>
        <w:fldChar w:fldCharType="separate"/>
      </w:r>
      <w:bookmarkStart w:id="73" w:name="_Toc14237_WPSOffice_Level2"/>
      <w:bookmarkStart w:id="74" w:name="_Toc10803_WPSOffice_Level2"/>
      <w:bookmarkStart w:id="75" w:name="_Toc18250874"/>
      <w:r>
        <w:rPr>
          <w:rFonts w:hint="eastAsia" w:ascii="楷体" w:hAnsi="楷体" w:eastAsia="楷体"/>
          <w:szCs w:val="30"/>
        </w:rPr>
        <w:t>（六）</w:t>
      </w:r>
      <w:r>
        <w:rPr>
          <w:rFonts w:hint="eastAsia" w:ascii="楷体" w:hAnsi="楷体" w:eastAsia="楷体"/>
          <w:szCs w:val="30"/>
        </w:rPr>
        <w:fldChar w:fldCharType="end"/>
      </w:r>
      <w:r>
        <w:rPr>
          <w:rFonts w:hint="eastAsia" w:ascii="楷体" w:hAnsi="楷体" w:eastAsia="楷体"/>
          <w:szCs w:val="30"/>
        </w:rPr>
        <w:t>组织管理情</w:t>
      </w:r>
      <w:bookmarkEnd w:id="73"/>
      <w:bookmarkEnd w:id="74"/>
      <w:r>
        <w:rPr>
          <w:rFonts w:hint="eastAsia" w:ascii="楷体" w:hAnsi="楷体" w:eastAsia="楷体"/>
          <w:szCs w:val="30"/>
        </w:rPr>
        <w:t>况</w:t>
      </w:r>
      <w:bookmarkEnd w:id="75"/>
    </w:p>
    <w:p>
      <w:pPr>
        <w:spacing w:line="579" w:lineRule="exact"/>
        <w:ind w:firstLine="630" w:firstLineChars="200"/>
        <w:rPr>
          <w:rFonts w:hAnsi="仿宋"/>
          <w:szCs w:val="30"/>
        </w:rPr>
      </w:pPr>
      <w:r>
        <w:rPr>
          <w:rFonts w:hint="eastAsia" w:hAnsi="仿宋"/>
          <w:szCs w:val="30"/>
        </w:rPr>
        <w:t>本项目由红塔区人民政府牵头，区城管局组织实施，对玉溪市中心城区进行“花城”景观建设。《中共玉溪市红塔区委办公室 玉溪市红塔区人民政府办公室关于印发&lt;玉溪市中心城区“花城”景观建设实施&gt;的通知》（玉红办通〔201</w:t>
      </w:r>
      <w:r>
        <w:rPr>
          <w:rFonts w:hAnsi="仿宋"/>
          <w:szCs w:val="30"/>
        </w:rPr>
        <w:t>7</w:t>
      </w:r>
      <w:r>
        <w:rPr>
          <w:rFonts w:hint="eastAsia" w:hAnsi="仿宋"/>
          <w:szCs w:val="30"/>
        </w:rPr>
        <w:t>〕</w:t>
      </w:r>
      <w:r>
        <w:rPr>
          <w:rFonts w:hAnsi="仿宋"/>
          <w:szCs w:val="30"/>
        </w:rPr>
        <w:t>101</w:t>
      </w:r>
      <w:r>
        <w:rPr>
          <w:rFonts w:hint="eastAsia" w:hAnsi="仿宋"/>
          <w:szCs w:val="30"/>
        </w:rPr>
        <w:t>号）文件中，明确了红塔区“花城”景观项目建设领导小组办公室设在区城管局，小组人员从区城管局、区住建局、市规划局红塔分局、区林业局抽调人员组成。</w:t>
      </w:r>
    </w:p>
    <w:p>
      <w:pPr>
        <w:spacing w:line="579" w:lineRule="exact"/>
        <w:ind w:firstLine="630" w:firstLineChars="200"/>
        <w:outlineLvl w:val="0"/>
        <w:rPr>
          <w:rFonts w:ascii="黑体" w:hAnsi="宋体" w:eastAsia="黑体" w:cs="宋体"/>
          <w:szCs w:val="30"/>
        </w:rPr>
      </w:pPr>
      <w:bookmarkStart w:id="76" w:name="_Toc23276_WPSOffice_Level1"/>
      <w:bookmarkStart w:id="77" w:name="_Toc18250875"/>
      <w:bookmarkStart w:id="78" w:name="_Toc12173_WPSOffice_Level1"/>
      <w:r>
        <w:rPr>
          <w:rFonts w:hint="eastAsia" w:ascii="黑体" w:hAnsi="宋体" w:eastAsia="黑体" w:cs="宋体"/>
          <w:szCs w:val="30"/>
        </w:rPr>
        <w:t>二、绩效自评情况</w:t>
      </w:r>
      <w:bookmarkEnd w:id="76"/>
      <w:bookmarkEnd w:id="77"/>
      <w:bookmarkEnd w:id="78"/>
    </w:p>
    <w:p>
      <w:pPr>
        <w:spacing w:line="579" w:lineRule="exact"/>
        <w:ind w:firstLine="630" w:firstLineChars="200"/>
        <w:outlineLvl w:val="1"/>
        <w:rPr>
          <w:rFonts w:ascii="楷体" w:hAnsi="楷体" w:eastAsia="楷体"/>
          <w:szCs w:val="30"/>
        </w:rPr>
      </w:pPr>
      <w:bookmarkStart w:id="79" w:name="_Toc4577_WPSOffice_Level2"/>
      <w:bookmarkStart w:id="80" w:name="_Toc26191_WPSOffice_Level2"/>
      <w:bookmarkStart w:id="81" w:name="_Toc18250876"/>
      <w:r>
        <w:rPr>
          <w:rFonts w:hint="eastAsia" w:ascii="楷体" w:hAnsi="楷体" w:eastAsia="楷体"/>
          <w:szCs w:val="30"/>
        </w:rPr>
        <w:t>（一）绩效自评概述</w:t>
      </w:r>
      <w:bookmarkEnd w:id="79"/>
      <w:bookmarkEnd w:id="80"/>
      <w:bookmarkEnd w:id="81"/>
    </w:p>
    <w:p>
      <w:pPr>
        <w:spacing w:line="579" w:lineRule="exact"/>
        <w:ind w:firstLine="630" w:firstLineChars="200"/>
        <w:rPr>
          <w:rFonts w:hAnsi="仿宋"/>
          <w:szCs w:val="30"/>
        </w:rPr>
      </w:pPr>
      <w:r>
        <w:rPr>
          <w:rFonts w:hint="eastAsia" w:hAnsi="仿宋"/>
          <w:szCs w:val="30"/>
        </w:rPr>
        <w:t>区城管局按照《玉溪市财政局关于市本级开展2</w:t>
      </w:r>
      <w:r>
        <w:rPr>
          <w:rFonts w:hAnsi="仿宋"/>
          <w:szCs w:val="30"/>
        </w:rPr>
        <w:t>018</w:t>
      </w:r>
      <w:r>
        <w:rPr>
          <w:rFonts w:hint="eastAsia" w:hAnsi="仿宋"/>
          <w:szCs w:val="30"/>
        </w:rPr>
        <w:t>年预算资金绩效自评的通知》（玉财投〔201</w:t>
      </w:r>
      <w:r>
        <w:rPr>
          <w:rFonts w:hAnsi="仿宋"/>
          <w:szCs w:val="30"/>
        </w:rPr>
        <w:t>9</w:t>
      </w:r>
      <w:r>
        <w:rPr>
          <w:rFonts w:hint="eastAsia" w:hAnsi="仿宋"/>
          <w:szCs w:val="30"/>
        </w:rPr>
        <w:t>〕</w:t>
      </w:r>
      <w:r>
        <w:rPr>
          <w:rFonts w:hAnsi="仿宋"/>
          <w:szCs w:val="30"/>
        </w:rPr>
        <w:t>8</w:t>
      </w:r>
      <w:r>
        <w:rPr>
          <w:rFonts w:hint="eastAsia" w:hAnsi="仿宋"/>
          <w:szCs w:val="30"/>
        </w:rPr>
        <w:t>号）的要求，由绿化股牵头，局相关股室、相关事业单位联合成立绩效评价工作组，负责绩效评价的组织管理和实施。区城管局从项目概况、项目绩效目标和绩效指标设定情况、项目实施管理情况、项目绩效自评及评价结果、存在的问题和建议等方面进行项目绩效自评，形成了《玉溪市中心城区“花城”景观建设项目绩效评价自评报告》。</w:t>
      </w:r>
    </w:p>
    <w:p>
      <w:pPr>
        <w:spacing w:line="579" w:lineRule="exact"/>
        <w:ind w:firstLine="630" w:firstLineChars="200"/>
        <w:outlineLvl w:val="1"/>
        <w:rPr>
          <w:rFonts w:ascii="楷体" w:hAnsi="楷体" w:eastAsia="楷体"/>
          <w:szCs w:val="30"/>
        </w:rPr>
      </w:pPr>
      <w:bookmarkStart w:id="82" w:name="_Toc10587_WPSOffice_Level2"/>
      <w:bookmarkStart w:id="83" w:name="_Toc18250877"/>
      <w:bookmarkStart w:id="84" w:name="_Toc31814_WPSOffice_Level2"/>
      <w:r>
        <w:rPr>
          <w:rFonts w:hint="eastAsia" w:ascii="楷体" w:hAnsi="楷体" w:eastAsia="楷体"/>
          <w:szCs w:val="30"/>
        </w:rPr>
        <w:t>（二）绩效自评结论</w:t>
      </w:r>
      <w:bookmarkEnd w:id="82"/>
      <w:bookmarkEnd w:id="83"/>
      <w:bookmarkEnd w:id="84"/>
    </w:p>
    <w:p>
      <w:pPr>
        <w:spacing w:line="579" w:lineRule="exact"/>
        <w:ind w:firstLine="630" w:firstLineChars="200"/>
        <w:rPr>
          <w:rFonts w:hAnsi="仿宋"/>
          <w:szCs w:val="30"/>
        </w:rPr>
      </w:pPr>
      <w:r>
        <w:rPr>
          <w:rFonts w:hint="eastAsia" w:hAnsi="仿宋"/>
          <w:szCs w:val="30"/>
        </w:rPr>
        <w:t>区城管局在玉溪市中心城区“花城”景观建设项目绩效评价自评中评分为</w:t>
      </w:r>
      <w:r>
        <w:rPr>
          <w:rFonts w:hAnsi="仿宋"/>
          <w:szCs w:val="30"/>
        </w:rPr>
        <w:t>100</w:t>
      </w:r>
      <w:r>
        <w:rPr>
          <w:rFonts w:hint="eastAsia" w:hAnsi="仿宋"/>
          <w:szCs w:val="30"/>
        </w:rPr>
        <w:t>分，自评结论为：项目实际下达预算资金2</w:t>
      </w:r>
      <w:r>
        <w:rPr>
          <w:rFonts w:hAnsi="仿宋"/>
          <w:szCs w:val="30"/>
        </w:rPr>
        <w:t>000</w:t>
      </w:r>
      <w:r>
        <w:rPr>
          <w:rFonts w:hint="eastAsia" w:hAnsi="仿宋"/>
          <w:szCs w:val="30"/>
        </w:rPr>
        <w:t>万元，支出1</w:t>
      </w:r>
      <w:r>
        <w:rPr>
          <w:rFonts w:hAnsi="仿宋"/>
          <w:szCs w:val="30"/>
        </w:rPr>
        <w:t>514</w:t>
      </w:r>
      <w:r>
        <w:rPr>
          <w:rFonts w:hint="eastAsia" w:hAnsi="仿宋"/>
          <w:szCs w:val="30"/>
        </w:rPr>
        <w:t>万元，结余4</w:t>
      </w:r>
      <w:r>
        <w:rPr>
          <w:rFonts w:hAnsi="仿宋"/>
          <w:szCs w:val="30"/>
        </w:rPr>
        <w:t>86</w:t>
      </w:r>
      <w:r>
        <w:rPr>
          <w:rFonts w:hint="eastAsia" w:hAnsi="仿宋"/>
          <w:szCs w:val="30"/>
        </w:rPr>
        <w:t>万元，执行率为7</w:t>
      </w:r>
      <w:r>
        <w:rPr>
          <w:rFonts w:hAnsi="仿宋"/>
          <w:szCs w:val="30"/>
        </w:rPr>
        <w:t>5.7</w:t>
      </w:r>
      <w:r>
        <w:rPr>
          <w:rFonts w:hint="eastAsia" w:hAnsi="仿宋"/>
          <w:szCs w:val="30"/>
        </w:rPr>
        <w:t>%，该项目分为四个标段实施，一、二、三标段项目已实施完成并通过初验，目前工程施工还剩一个标段未完成。</w:t>
      </w:r>
    </w:p>
    <w:p>
      <w:pPr>
        <w:spacing w:line="579" w:lineRule="exact"/>
        <w:ind w:firstLine="630" w:firstLineChars="200"/>
        <w:outlineLvl w:val="1"/>
        <w:rPr>
          <w:rFonts w:ascii="楷体" w:hAnsi="楷体" w:eastAsia="楷体"/>
          <w:szCs w:val="30"/>
        </w:rPr>
      </w:pPr>
      <w:bookmarkStart w:id="85" w:name="_Toc12751_WPSOffice_Level2"/>
      <w:bookmarkStart w:id="86" w:name="_Toc18990_WPSOffice_Level2"/>
      <w:r>
        <w:rPr>
          <w:rFonts w:hint="eastAsia" w:ascii="楷体" w:hAnsi="楷体" w:eastAsia="楷体"/>
          <w:szCs w:val="30"/>
        </w:rPr>
        <w:t>（三）自评结论评价</w:t>
      </w:r>
      <w:bookmarkEnd w:id="85"/>
      <w:bookmarkEnd w:id="86"/>
    </w:p>
    <w:p>
      <w:pPr>
        <w:spacing w:line="579" w:lineRule="exact"/>
        <w:ind w:firstLine="630" w:firstLineChars="200"/>
        <w:rPr>
          <w:rFonts w:hAnsi="仿宋"/>
          <w:szCs w:val="30"/>
        </w:rPr>
      </w:pPr>
      <w:r>
        <w:rPr>
          <w:rFonts w:hint="eastAsia" w:hAnsi="仿宋"/>
          <w:szCs w:val="30"/>
        </w:rPr>
        <w:t>项目自评报告中无自评指标体系，项目资金使用单位未对项目实施后的产出和效果进行量化考核，项目自评结论与实际存在偏差。一是自评结论仅对资金使用进度和项目完成整体情况进行了总结，未对项目实施效益和效果开展自评；二是自评分为满分，而项目资金使用率、完成率均未达到100%，其自评结论不尽合理，自评的客观性、完整性有待提升。</w:t>
      </w:r>
    </w:p>
    <w:p>
      <w:pPr>
        <w:spacing w:line="579" w:lineRule="exact"/>
        <w:ind w:firstLine="630" w:firstLineChars="200"/>
        <w:outlineLvl w:val="0"/>
        <w:rPr>
          <w:rFonts w:ascii="黑体" w:hAnsi="宋体" w:eastAsia="黑体" w:cs="宋体"/>
          <w:szCs w:val="30"/>
        </w:rPr>
      </w:pPr>
      <w:bookmarkStart w:id="87" w:name="_Toc18250878"/>
      <w:bookmarkStart w:id="88" w:name="_Toc2508_WPSOffice_Level1"/>
      <w:bookmarkStart w:id="89" w:name="_Toc32494_WPSOffice_Level1"/>
      <w:r>
        <w:rPr>
          <w:rFonts w:hint="eastAsia" w:ascii="黑体" w:hAnsi="宋体" w:eastAsia="黑体" w:cs="宋体"/>
          <w:szCs w:val="30"/>
        </w:rPr>
        <w:t>三、绩效再评价组织情况</w:t>
      </w:r>
      <w:bookmarkEnd w:id="87"/>
      <w:bookmarkEnd w:id="88"/>
      <w:bookmarkEnd w:id="89"/>
    </w:p>
    <w:p>
      <w:pPr>
        <w:spacing w:line="579" w:lineRule="exact"/>
        <w:ind w:firstLine="630" w:firstLineChars="200"/>
        <w:outlineLvl w:val="1"/>
        <w:rPr>
          <w:rFonts w:ascii="楷体" w:hAnsi="楷体" w:eastAsia="楷体"/>
          <w:szCs w:val="30"/>
        </w:rPr>
      </w:pPr>
      <w:bookmarkStart w:id="90" w:name="_Toc9917_WPSOffice_Level2"/>
      <w:bookmarkStart w:id="91" w:name="_Toc9473_WPSOffice_Level2"/>
      <w:bookmarkStart w:id="92" w:name="_Toc18250879"/>
      <w:r>
        <w:rPr>
          <w:rFonts w:hint="eastAsia" w:ascii="楷体" w:hAnsi="楷体" w:eastAsia="楷体"/>
          <w:szCs w:val="30"/>
        </w:rPr>
        <w:t>（一）绩效再评价依据</w:t>
      </w:r>
      <w:bookmarkEnd w:id="90"/>
      <w:bookmarkEnd w:id="91"/>
      <w:bookmarkEnd w:id="92"/>
    </w:p>
    <w:p>
      <w:pPr>
        <w:spacing w:line="579" w:lineRule="exact"/>
        <w:ind w:firstLine="630" w:firstLineChars="200"/>
        <w:rPr>
          <w:rFonts w:hAnsi="仿宋"/>
          <w:szCs w:val="30"/>
        </w:rPr>
      </w:pPr>
      <w:r>
        <w:rPr>
          <w:rFonts w:hint="eastAsia" w:hAnsi="仿宋"/>
          <w:szCs w:val="30"/>
        </w:rPr>
        <w:t>1.《中华人民共和国预算法》（2014年修订）；</w:t>
      </w:r>
    </w:p>
    <w:p>
      <w:pPr>
        <w:spacing w:line="579" w:lineRule="exact"/>
        <w:ind w:firstLine="630" w:firstLineChars="200"/>
        <w:rPr>
          <w:rFonts w:hAnsi="仿宋"/>
          <w:szCs w:val="30"/>
        </w:rPr>
      </w:pPr>
      <w:r>
        <w:rPr>
          <w:rFonts w:hint="eastAsia" w:hAnsi="仿宋"/>
          <w:szCs w:val="30"/>
        </w:rPr>
        <w:t>2.《玉溪市财政局关于开展2019年预算支出绩效再评价工作的通知》（玉财投〔2019〕9号）；</w:t>
      </w:r>
    </w:p>
    <w:p>
      <w:pPr>
        <w:spacing w:line="579" w:lineRule="exact"/>
        <w:ind w:firstLine="630" w:firstLineChars="200"/>
        <w:rPr>
          <w:rFonts w:hAnsi="仿宋"/>
          <w:szCs w:val="30"/>
        </w:rPr>
      </w:pPr>
      <w:r>
        <w:rPr>
          <w:rFonts w:hint="eastAsia" w:hAnsi="仿宋"/>
          <w:szCs w:val="30"/>
        </w:rPr>
        <w:t>3.《玉溪市市级财政预算绩效管理暂行办法》（玉财债〔2016〕16号）；</w:t>
      </w:r>
    </w:p>
    <w:p>
      <w:pPr>
        <w:spacing w:line="579" w:lineRule="exact"/>
        <w:ind w:firstLine="630" w:firstLineChars="200"/>
        <w:rPr>
          <w:rFonts w:hAnsi="仿宋"/>
          <w:szCs w:val="30"/>
        </w:rPr>
      </w:pPr>
      <w:r>
        <w:rPr>
          <w:rFonts w:hAnsi="仿宋"/>
          <w:szCs w:val="30"/>
        </w:rPr>
        <w:t>4</w:t>
      </w:r>
      <w:r>
        <w:rPr>
          <w:rFonts w:hint="eastAsia" w:hAnsi="仿宋"/>
          <w:szCs w:val="30"/>
        </w:rPr>
        <w:t>.《玉溪市财政局关于玉溪市市级财政支出预算绩效评价操作规程（试行）的通知》（玉财投〔2018〕1号 ）；</w:t>
      </w:r>
    </w:p>
    <w:p>
      <w:pPr>
        <w:spacing w:line="579" w:lineRule="exact"/>
        <w:ind w:firstLine="630" w:firstLineChars="200"/>
        <w:rPr>
          <w:rFonts w:hAnsi="仿宋"/>
          <w:szCs w:val="30"/>
        </w:rPr>
      </w:pPr>
      <w:r>
        <w:rPr>
          <w:rFonts w:hint="eastAsia" w:hAnsi="仿宋"/>
          <w:szCs w:val="30"/>
        </w:rPr>
        <w:t>5.《玉溪市市级专项资金管理暂行办法》（玉财债〔2017〕13号）；</w:t>
      </w:r>
    </w:p>
    <w:p>
      <w:pPr>
        <w:spacing w:line="579" w:lineRule="exact"/>
        <w:ind w:firstLine="630" w:firstLineChars="200"/>
        <w:rPr>
          <w:rFonts w:hAnsi="仿宋"/>
          <w:szCs w:val="30"/>
        </w:rPr>
      </w:pPr>
      <w:r>
        <w:rPr>
          <w:rFonts w:hint="eastAsia" w:hAnsi="仿宋"/>
          <w:szCs w:val="30"/>
        </w:rPr>
        <w:t>6.《玉溪市市对下专项转移支付资金绩效管理暂行办法》（玉财债〔2017〕21号）；</w:t>
      </w:r>
    </w:p>
    <w:p>
      <w:pPr>
        <w:spacing w:line="579" w:lineRule="exact"/>
        <w:ind w:firstLine="630" w:firstLineChars="200"/>
        <w:rPr>
          <w:rFonts w:hAnsi="仿宋"/>
          <w:szCs w:val="30"/>
        </w:rPr>
      </w:pPr>
      <w:r>
        <w:rPr>
          <w:rFonts w:hint="eastAsia" w:hAnsi="仿宋"/>
          <w:szCs w:val="30"/>
        </w:rPr>
        <w:t>7.《玉溪市财政局关于市本级开展2018年预算资金绩效自评的通知》（玉财投〔2019〕8号）；</w:t>
      </w:r>
    </w:p>
    <w:p>
      <w:pPr>
        <w:spacing w:line="579" w:lineRule="exact"/>
        <w:ind w:firstLine="630" w:firstLineChars="200"/>
        <w:rPr>
          <w:rFonts w:hAnsi="仿宋"/>
          <w:szCs w:val="30"/>
        </w:rPr>
      </w:pPr>
      <w:r>
        <w:rPr>
          <w:rFonts w:hAnsi="仿宋"/>
          <w:szCs w:val="30"/>
        </w:rPr>
        <w:t>8.</w:t>
      </w:r>
      <w:r>
        <w:rPr>
          <w:rFonts w:hint="eastAsia" w:hAnsi="仿宋"/>
          <w:szCs w:val="30"/>
        </w:rPr>
        <w:t>《红塔区稳增长及重点项目建设汇报会议纪要》（2</w:t>
      </w:r>
      <w:r>
        <w:rPr>
          <w:rFonts w:hAnsi="仿宋"/>
          <w:szCs w:val="30"/>
        </w:rPr>
        <w:t>017</w:t>
      </w:r>
      <w:r>
        <w:rPr>
          <w:rFonts w:hint="eastAsia" w:hAnsi="仿宋"/>
          <w:szCs w:val="30"/>
        </w:rPr>
        <w:t>年第9</w:t>
      </w:r>
      <w:r>
        <w:rPr>
          <w:rFonts w:hAnsi="仿宋"/>
          <w:szCs w:val="30"/>
        </w:rPr>
        <w:t>9</w:t>
      </w:r>
      <w:r>
        <w:rPr>
          <w:rFonts w:hint="eastAsia" w:hAnsi="仿宋"/>
          <w:szCs w:val="30"/>
        </w:rPr>
        <w:t>期）精神；</w:t>
      </w:r>
    </w:p>
    <w:p>
      <w:pPr>
        <w:spacing w:line="579" w:lineRule="exact"/>
        <w:ind w:firstLine="630" w:firstLineChars="200"/>
        <w:rPr>
          <w:rFonts w:hAnsi="仿宋"/>
          <w:szCs w:val="30"/>
        </w:rPr>
      </w:pPr>
      <w:r>
        <w:rPr>
          <w:rFonts w:hAnsi="仿宋"/>
          <w:szCs w:val="30"/>
        </w:rPr>
        <w:t>9.</w:t>
      </w:r>
      <w:r>
        <w:rPr>
          <w:rFonts w:hint="eastAsia" w:hAnsi="仿宋"/>
          <w:szCs w:val="30"/>
        </w:rPr>
        <w:t>《玉溪市红塔区人民政府关于“花城”景观建设资金补助的请示》（玉红政请〔201</w:t>
      </w:r>
      <w:r>
        <w:rPr>
          <w:rFonts w:hAnsi="仿宋"/>
          <w:szCs w:val="30"/>
        </w:rPr>
        <w:t>7</w:t>
      </w:r>
      <w:r>
        <w:rPr>
          <w:rFonts w:hint="eastAsia" w:hAnsi="仿宋"/>
          <w:szCs w:val="30"/>
        </w:rPr>
        <w:t>〕</w:t>
      </w:r>
      <w:r>
        <w:rPr>
          <w:rFonts w:hAnsi="仿宋"/>
          <w:szCs w:val="30"/>
        </w:rPr>
        <w:t>53</w:t>
      </w:r>
      <w:r>
        <w:rPr>
          <w:rFonts w:hint="eastAsia" w:hAnsi="仿宋"/>
          <w:szCs w:val="30"/>
        </w:rPr>
        <w:t>号 ）；</w:t>
      </w:r>
    </w:p>
    <w:p>
      <w:pPr>
        <w:spacing w:line="579" w:lineRule="exact"/>
        <w:ind w:firstLine="630" w:firstLineChars="200"/>
        <w:rPr>
          <w:rFonts w:hAnsi="仿宋"/>
          <w:szCs w:val="30"/>
        </w:rPr>
      </w:pPr>
      <w:r>
        <w:rPr>
          <w:rFonts w:hAnsi="仿宋"/>
          <w:szCs w:val="30"/>
        </w:rPr>
        <w:t>10.</w:t>
      </w:r>
      <w:r>
        <w:rPr>
          <w:rFonts w:hint="eastAsia" w:hAnsi="仿宋"/>
          <w:szCs w:val="30"/>
        </w:rPr>
        <w:t xml:space="preserve"> </w:t>
      </w:r>
      <w:r>
        <w:rPr>
          <w:rFonts w:hAnsi="仿宋"/>
          <w:szCs w:val="30"/>
        </w:rPr>
        <w:t>&lt;</w:t>
      </w:r>
      <w:r>
        <w:rPr>
          <w:rFonts w:hint="eastAsia" w:hAnsi="仿宋"/>
          <w:szCs w:val="30"/>
        </w:rPr>
        <w:t>中共玉溪市红塔区委办公室 玉溪市红塔区人民政府办公室关于印发《玉溪市中心城区“花城”景观建设实施》的通知&gt;（玉红办通〔201</w:t>
      </w:r>
      <w:r>
        <w:rPr>
          <w:rFonts w:hAnsi="仿宋"/>
          <w:szCs w:val="30"/>
        </w:rPr>
        <w:t>7</w:t>
      </w:r>
      <w:r>
        <w:rPr>
          <w:rFonts w:hint="eastAsia" w:hAnsi="仿宋"/>
          <w:szCs w:val="30"/>
        </w:rPr>
        <w:t>〕</w:t>
      </w:r>
      <w:r>
        <w:rPr>
          <w:rFonts w:hAnsi="仿宋"/>
          <w:szCs w:val="30"/>
        </w:rPr>
        <w:t>101</w:t>
      </w:r>
      <w:r>
        <w:rPr>
          <w:rFonts w:hint="eastAsia" w:hAnsi="仿宋"/>
          <w:szCs w:val="30"/>
        </w:rPr>
        <w:t>号 ）；</w:t>
      </w:r>
    </w:p>
    <w:p>
      <w:pPr>
        <w:spacing w:line="579" w:lineRule="exact"/>
        <w:ind w:firstLine="630" w:firstLineChars="200"/>
        <w:rPr>
          <w:rFonts w:hAnsi="仿宋"/>
          <w:szCs w:val="30"/>
        </w:rPr>
      </w:pPr>
      <w:r>
        <w:rPr>
          <w:rFonts w:hAnsi="仿宋"/>
          <w:szCs w:val="30"/>
        </w:rPr>
        <w:t>11.</w:t>
      </w:r>
      <w:r>
        <w:rPr>
          <w:rFonts w:hint="eastAsia" w:hAnsi="仿宋"/>
          <w:szCs w:val="30"/>
        </w:rPr>
        <w:t>红塔区中心城区城市管理“十三五”规划（2</w:t>
      </w:r>
      <w:r>
        <w:rPr>
          <w:rFonts w:hAnsi="仿宋"/>
          <w:szCs w:val="30"/>
        </w:rPr>
        <w:t>016</w:t>
      </w:r>
      <w:r>
        <w:rPr>
          <w:rFonts w:hint="eastAsia" w:hAnsi="仿宋"/>
          <w:szCs w:val="30"/>
        </w:rPr>
        <w:t>-</w:t>
      </w:r>
      <w:r>
        <w:rPr>
          <w:rFonts w:hAnsi="仿宋"/>
          <w:szCs w:val="30"/>
        </w:rPr>
        <w:t>2020</w:t>
      </w:r>
      <w:r>
        <w:rPr>
          <w:rFonts w:hint="eastAsia" w:hAnsi="仿宋"/>
          <w:szCs w:val="30"/>
        </w:rPr>
        <w:t>年）；</w:t>
      </w:r>
    </w:p>
    <w:p>
      <w:pPr>
        <w:spacing w:line="579" w:lineRule="exact"/>
        <w:ind w:firstLine="630" w:firstLineChars="200"/>
        <w:rPr>
          <w:rFonts w:hAnsi="仿宋"/>
          <w:szCs w:val="30"/>
        </w:rPr>
      </w:pPr>
      <w:r>
        <w:rPr>
          <w:rFonts w:hAnsi="仿宋"/>
          <w:szCs w:val="30"/>
        </w:rPr>
        <w:t>12</w:t>
      </w:r>
      <w:r>
        <w:rPr>
          <w:rFonts w:hint="eastAsia" w:hAnsi="仿宋"/>
          <w:szCs w:val="30"/>
        </w:rPr>
        <w:t>.其它相关依据文件。</w:t>
      </w:r>
    </w:p>
    <w:p>
      <w:pPr>
        <w:spacing w:line="579" w:lineRule="exact"/>
        <w:ind w:firstLine="630" w:firstLineChars="200"/>
        <w:outlineLvl w:val="1"/>
        <w:rPr>
          <w:rFonts w:ascii="楷体" w:hAnsi="楷体" w:eastAsia="楷体"/>
          <w:szCs w:val="30"/>
        </w:rPr>
      </w:pPr>
      <w:bookmarkStart w:id="93" w:name="_Toc18250880"/>
      <w:bookmarkStart w:id="94" w:name="_Toc11031_WPSOffice_Level2"/>
      <w:bookmarkStart w:id="95" w:name="_Toc27717_WPSOffice_Level2"/>
      <w:r>
        <w:rPr>
          <w:rFonts w:hint="eastAsia" w:ascii="楷体" w:hAnsi="楷体" w:eastAsia="楷体"/>
          <w:szCs w:val="30"/>
        </w:rPr>
        <w:t>（二）绩效再评价方法</w:t>
      </w:r>
      <w:bookmarkEnd w:id="93"/>
      <w:bookmarkEnd w:id="94"/>
      <w:bookmarkEnd w:id="95"/>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结合该项目特点，主要采用的绩效再评价方法有：资料查阅、政策解读、效益比较分析、实地调研等。具体做法如下：</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资料查阅：首先通过全面查阅被评价单位提交的项目相关资料，主要包括项目预算安排、项目管理制度文件、项目资金使用相关凭证、项目实施完成相关统计数据，工作总结、贯彻执行的有关政策文件，项目实施档案资料等。</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政策解读：</w:t>
      </w:r>
      <w:r>
        <w:rPr>
          <w:rFonts w:hAnsi="仿宋" w:cs="仿宋"/>
          <w:spacing w:val="6"/>
          <w:kern w:val="2"/>
          <w:szCs w:val="30"/>
        </w:rPr>
        <w:t>基于该项目属于基础设施建设项目，评价小组对基建项目相关政策进行深入解读学习，在了解大政策、大背景前提基础下结合项目具体情况和地方政策更好地开展绩效再评价工作。</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效益对比：该项目实施主要目的在于创建生态园林城市，改善城市环境，再评价过程中，主要通过对项目实施前后效果进行对比，以体现项目实施产生的效益。</w:t>
      </w:r>
    </w:p>
    <w:p>
      <w:pPr>
        <w:adjustRightInd w:val="0"/>
        <w:snapToGrid w:val="0"/>
        <w:spacing w:line="579" w:lineRule="exact"/>
        <w:ind w:firstLine="624"/>
        <w:rPr>
          <w:rFonts w:hAnsi="仿宋" w:cs="仿宋"/>
          <w:spacing w:val="6"/>
          <w:kern w:val="2"/>
          <w:szCs w:val="30"/>
        </w:rPr>
      </w:pPr>
      <w:r>
        <w:rPr>
          <w:rFonts w:hint="eastAsia" w:hAnsi="仿宋" w:cs="仿宋"/>
          <w:spacing w:val="6"/>
          <w:kern w:val="2"/>
          <w:szCs w:val="30"/>
        </w:rPr>
        <w:t>实地调研：以座谈会、问卷调查等方式开展实地评价。对照项目实施主要内容，现场查看项目完成情况和工程质量情况；走访社会群众，了解社会群众对“花城”景观建设项目实施的反映、意见和要求。了解社会群众对该项目的知晓情况、社会群众居住环境改善情况。</w:t>
      </w:r>
    </w:p>
    <w:p>
      <w:pPr>
        <w:spacing w:line="579" w:lineRule="exact"/>
        <w:ind w:firstLine="630" w:firstLineChars="200"/>
        <w:outlineLvl w:val="1"/>
        <w:rPr>
          <w:rFonts w:ascii="楷体" w:hAnsi="楷体" w:eastAsia="楷体"/>
          <w:szCs w:val="30"/>
        </w:rPr>
      </w:pPr>
      <w:bookmarkStart w:id="96" w:name="_Toc294_WPSOffice_Level2"/>
      <w:bookmarkStart w:id="97" w:name="_Toc18250881"/>
      <w:bookmarkStart w:id="98" w:name="_Toc26778_WPSOffice_Level2"/>
      <w:r>
        <w:rPr>
          <w:rFonts w:hint="eastAsia" w:ascii="楷体" w:hAnsi="楷体" w:eastAsia="楷体"/>
          <w:szCs w:val="30"/>
        </w:rPr>
        <w:t>（三）绩效再评价指标体系</w:t>
      </w:r>
      <w:bookmarkEnd w:id="96"/>
      <w:bookmarkEnd w:id="97"/>
      <w:bookmarkEnd w:id="98"/>
    </w:p>
    <w:p>
      <w:pPr>
        <w:spacing w:line="579" w:lineRule="exact"/>
        <w:ind w:firstLine="630" w:firstLineChars="200"/>
        <w:rPr>
          <w:rFonts w:hAnsi="仿宋"/>
          <w:kern w:val="2"/>
          <w:szCs w:val="30"/>
        </w:rPr>
      </w:pPr>
      <w:bookmarkStart w:id="99" w:name="_Toc9436709"/>
      <w:r>
        <w:rPr>
          <w:rFonts w:hint="eastAsia" w:hAnsi="仿宋"/>
          <w:kern w:val="2"/>
          <w:szCs w:val="30"/>
        </w:rPr>
        <w:t>1</w:t>
      </w:r>
      <w:r>
        <w:rPr>
          <w:rFonts w:hAnsi="仿宋"/>
          <w:kern w:val="2"/>
          <w:szCs w:val="30"/>
        </w:rPr>
        <w:t>.</w:t>
      </w:r>
      <w:r>
        <w:rPr>
          <w:rFonts w:hint="eastAsia" w:hAnsi="仿宋"/>
          <w:kern w:val="2"/>
          <w:szCs w:val="30"/>
        </w:rPr>
        <w:t>绩效再评价指标</w:t>
      </w:r>
      <w:bookmarkEnd w:id="99"/>
    </w:p>
    <w:p>
      <w:pPr>
        <w:spacing w:line="480" w:lineRule="exact"/>
        <w:ind w:firstLine="630" w:firstLineChars="200"/>
        <w:jc w:val="left"/>
        <w:rPr>
          <w:rFonts w:hAnsi="仿宋"/>
          <w:color w:val="000000" w:themeColor="text1"/>
          <w:kern w:val="2"/>
          <w:szCs w:val="30"/>
          <w14:textFill>
            <w14:solidFill>
              <w14:schemeClr w14:val="tx1"/>
            </w14:solidFill>
          </w14:textFill>
        </w:rPr>
      </w:pPr>
      <w:r>
        <w:rPr>
          <w:rFonts w:hint="eastAsia" w:hAnsi="仿宋"/>
          <w:color w:val="000000" w:themeColor="text1"/>
          <w:kern w:val="2"/>
          <w:szCs w:val="30"/>
          <w14:textFill>
            <w14:solidFill>
              <w14:schemeClr w14:val="tx1"/>
            </w14:solidFill>
          </w14:textFill>
        </w:rPr>
        <w:t>绩效再评价指标体系共有三级指标，一级指标</w:t>
      </w:r>
      <w:r>
        <w:rPr>
          <w:rFonts w:hAnsi="仿宋"/>
          <w:color w:val="000000" w:themeColor="text1"/>
          <w:kern w:val="2"/>
          <w:szCs w:val="30"/>
          <w14:textFill>
            <w14:solidFill>
              <w14:schemeClr w14:val="tx1"/>
            </w14:solidFill>
          </w14:textFill>
        </w:rPr>
        <w:t>4个（投入、过程、产出和效果），二级指标11</w:t>
      </w:r>
      <w:r>
        <w:rPr>
          <w:rFonts w:hint="eastAsia" w:hAnsi="仿宋"/>
          <w:color w:val="000000" w:themeColor="text1"/>
          <w:kern w:val="2"/>
          <w:szCs w:val="30"/>
          <w14:textFill>
            <w14:solidFill>
              <w14:schemeClr w14:val="tx1"/>
            </w14:solidFill>
          </w14:textFill>
        </w:rPr>
        <w:t>个，三级指标</w:t>
      </w:r>
      <w:r>
        <w:rPr>
          <w:rFonts w:hAnsi="仿宋"/>
          <w:color w:val="000000" w:themeColor="text1"/>
          <w:kern w:val="2"/>
          <w:szCs w:val="30"/>
          <w14:textFill>
            <w14:solidFill>
              <w14:schemeClr w14:val="tx1"/>
            </w14:solidFill>
          </w14:textFill>
        </w:rPr>
        <w:t>32</w:t>
      </w:r>
      <w:r>
        <w:rPr>
          <w:rFonts w:hint="eastAsia" w:hAnsi="仿宋"/>
          <w:color w:val="000000" w:themeColor="text1"/>
          <w:kern w:val="2"/>
          <w:szCs w:val="30"/>
          <w14:textFill>
            <w14:solidFill>
              <w14:schemeClr w14:val="tx1"/>
            </w14:solidFill>
          </w14:textFill>
        </w:rPr>
        <w:t>个。</w:t>
      </w:r>
    </w:p>
    <w:p>
      <w:pPr>
        <w:spacing w:line="579" w:lineRule="exact"/>
        <w:ind w:firstLine="630" w:firstLineChars="200"/>
        <w:rPr>
          <w:rFonts w:hAnsi="仿宋"/>
          <w:kern w:val="2"/>
          <w:szCs w:val="30"/>
        </w:rPr>
      </w:pPr>
      <w:r>
        <w:rPr>
          <w:rFonts w:hint="eastAsia" w:hAnsi="仿宋"/>
          <w:kern w:val="2"/>
          <w:szCs w:val="30"/>
        </w:rPr>
        <w:t>2</w:t>
      </w:r>
      <w:r>
        <w:rPr>
          <w:rFonts w:hAnsi="仿宋"/>
          <w:kern w:val="2"/>
          <w:szCs w:val="30"/>
        </w:rPr>
        <w:t>.</w:t>
      </w:r>
      <w:r>
        <w:rPr>
          <w:rFonts w:hint="eastAsia" w:hAnsi="仿宋"/>
          <w:kern w:val="2"/>
          <w:szCs w:val="30"/>
        </w:rPr>
        <w:t>绩效再评价指标分值权重</w:t>
      </w:r>
    </w:p>
    <w:p>
      <w:pPr>
        <w:spacing w:line="579" w:lineRule="exact"/>
        <w:ind w:firstLine="630" w:firstLineChars="200"/>
        <w:rPr>
          <w:rFonts w:hAnsi="仿宋"/>
          <w:color w:val="000000" w:themeColor="text1"/>
          <w:szCs w:val="30"/>
          <w14:textFill>
            <w14:solidFill>
              <w14:schemeClr w14:val="tx1"/>
            </w14:solidFill>
          </w14:textFill>
        </w:rPr>
      </w:pPr>
      <w:r>
        <w:rPr>
          <w:rFonts w:hAnsi="仿宋"/>
          <w:color w:val="000000" w:themeColor="text1"/>
          <w:szCs w:val="30"/>
          <w14:textFill>
            <w14:solidFill>
              <w14:schemeClr w14:val="tx1"/>
            </w14:solidFill>
          </w14:textFill>
        </w:rPr>
        <w:t>结合项目的实施背景与绩效目标，通过与相关专业人员开展充分讨论，并征求项目实施主管部门意见，综合判断各级评价指标对实现绩效目标的关键程度为基础，以此确定各评价指标的分值权重。</w:t>
      </w:r>
      <w:r>
        <w:rPr>
          <w:rFonts w:hint="eastAsia" w:hAnsi="仿宋"/>
          <w:color w:val="000000" w:themeColor="text1"/>
          <w:szCs w:val="30"/>
          <w14:textFill>
            <w14:solidFill>
              <w14:schemeClr w14:val="tx1"/>
            </w14:solidFill>
          </w14:textFill>
        </w:rPr>
        <w:t>投入指标权重为</w:t>
      </w:r>
      <w:r>
        <w:rPr>
          <w:rFonts w:hAnsi="仿宋"/>
          <w:color w:val="000000" w:themeColor="text1"/>
          <w:szCs w:val="30"/>
          <w14:textFill>
            <w14:solidFill>
              <w14:schemeClr w14:val="tx1"/>
            </w14:solidFill>
          </w14:textFill>
        </w:rPr>
        <w:t>20%；过程指标权重为25%；产出指标权重为30%；效果指标权重为25%。</w:t>
      </w:r>
    </w:p>
    <w:p>
      <w:pPr>
        <w:spacing w:line="579" w:lineRule="exact"/>
        <w:ind w:firstLine="630" w:firstLineChars="200"/>
        <w:rPr>
          <w:rFonts w:hAnsi="仿宋"/>
          <w:kern w:val="2"/>
          <w:szCs w:val="30"/>
        </w:rPr>
      </w:pPr>
      <w:bookmarkStart w:id="100" w:name="_Toc9436712"/>
      <w:r>
        <w:rPr>
          <w:rFonts w:hint="eastAsia" w:hAnsi="仿宋"/>
          <w:kern w:val="2"/>
          <w:szCs w:val="30"/>
        </w:rPr>
        <w:t>3</w:t>
      </w:r>
      <w:r>
        <w:rPr>
          <w:rFonts w:hAnsi="仿宋"/>
          <w:kern w:val="2"/>
          <w:szCs w:val="30"/>
        </w:rPr>
        <w:t>.</w:t>
      </w:r>
      <w:bookmarkEnd w:id="100"/>
      <w:r>
        <w:rPr>
          <w:rFonts w:hint="eastAsia" w:hAnsi="仿宋"/>
          <w:kern w:val="2"/>
          <w:szCs w:val="30"/>
        </w:rPr>
        <w:t>指标解释</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绩效再评价指标体系以项目管理流程所包含的“投入—过程—产出—效果”环节为依据，将绩效再评价指标划分为投入、过程、产出、效果四个方面，作为一级指标，对专项资金进行全面绩效再评价。</w:t>
      </w:r>
    </w:p>
    <w:p>
      <w:pPr>
        <w:spacing w:line="579" w:lineRule="exact"/>
        <w:ind w:firstLine="624"/>
        <w:rPr>
          <w:rFonts w:hAnsi="仿宋"/>
          <w:color w:val="000000" w:themeColor="text1"/>
          <w:szCs w:val="30"/>
          <w14:textFill>
            <w14:solidFill>
              <w14:schemeClr w14:val="tx1"/>
            </w14:solidFill>
          </w14:textFill>
        </w:rPr>
      </w:pPr>
      <w:r>
        <w:rPr>
          <w:rFonts w:hAnsi="仿宋"/>
          <w:color w:val="000000" w:themeColor="text1"/>
          <w:szCs w:val="30"/>
          <w14:textFill>
            <w14:solidFill>
              <w14:schemeClr w14:val="tx1"/>
            </w14:solidFill>
          </w14:textFill>
        </w:rPr>
        <w:t>在二级指标层面确定了各环节绩效评价的关键因素后，根据二级指标内容和相关标准进一步将其分解为32</w:t>
      </w:r>
      <w:r>
        <w:rPr>
          <w:rFonts w:hint="eastAsia" w:hAnsi="仿宋"/>
          <w:color w:val="000000" w:themeColor="text1"/>
          <w:szCs w:val="30"/>
          <w14:textFill>
            <w14:solidFill>
              <w14:schemeClr w14:val="tx1"/>
            </w14:solidFill>
          </w14:textFill>
        </w:rPr>
        <w:t>项具体可操作的三级指标，作为绩效评价指标体系的最基层指标。三级指标更为细化和具体，以项目实施的各环节为设置三级绩效指标的依据，明确对绩效再评价考核的具体内容进行了说明，详情见附件2。</w:t>
      </w:r>
    </w:p>
    <w:p>
      <w:pPr>
        <w:spacing w:line="579" w:lineRule="exact"/>
        <w:ind w:firstLine="630" w:firstLineChars="200"/>
        <w:rPr>
          <w:rFonts w:hAnsi="仿宋"/>
          <w:kern w:val="2"/>
          <w:szCs w:val="30"/>
        </w:rPr>
      </w:pPr>
      <w:r>
        <w:rPr>
          <w:rFonts w:hAnsi="仿宋"/>
          <w:kern w:val="2"/>
          <w:szCs w:val="30"/>
        </w:rPr>
        <w:t>4.</w:t>
      </w:r>
      <w:r>
        <w:rPr>
          <w:rFonts w:hint="eastAsia" w:hAnsi="仿宋"/>
          <w:kern w:val="2"/>
          <w:szCs w:val="30"/>
        </w:rPr>
        <w:t>评价标准</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本次评价采用百分制，各级指标依据其指标权重确定分值，评价人员根据评价情况对各级指标进行打分，最终得分由各级评价指标得分加总得到。根据最终得分情况将评价标准分为四个等级：得分≥90分为“优”；90分＞得分≥75分为“良”；75分＞得分≥60分为“中”；得分＜60分为“差”</w:t>
      </w:r>
      <w:r>
        <w:rPr>
          <w:rFonts w:hAnsi="仿宋"/>
          <w:color w:val="000000" w:themeColor="text1"/>
          <w:szCs w:val="30"/>
          <w14:textFill>
            <w14:solidFill>
              <w14:schemeClr w14:val="tx1"/>
            </w14:solidFill>
          </w14:textFill>
        </w:rPr>
        <w:t>。</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5</w:t>
      </w:r>
      <w:r>
        <w:rPr>
          <w:rFonts w:hAnsi="仿宋"/>
          <w:color w:val="000000" w:themeColor="text1"/>
          <w:szCs w:val="30"/>
          <w14:textFill>
            <w14:solidFill>
              <w14:schemeClr w14:val="tx1"/>
            </w14:solidFill>
          </w14:textFill>
        </w:rPr>
        <w:t>.</w:t>
      </w:r>
      <w:r>
        <w:rPr>
          <w:rFonts w:hint="eastAsia" w:hAnsi="仿宋"/>
          <w:color w:val="000000" w:themeColor="text1"/>
          <w:szCs w:val="30"/>
          <w14:textFill>
            <w14:solidFill>
              <w14:schemeClr w14:val="tx1"/>
            </w14:solidFill>
          </w14:textFill>
        </w:rPr>
        <w:t>数据来源</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（1）定量指标数据</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定量指标数据主要来源于专项检查、现场踏勘、工程形象进度报告、竣工验收资料、工程结算审核资料等。</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（2）定性指标数据</w:t>
      </w:r>
    </w:p>
    <w:p>
      <w:pPr>
        <w:spacing w:line="579" w:lineRule="exact"/>
        <w:ind w:firstLine="630" w:firstLineChars="200"/>
        <w:rPr>
          <w:rFonts w:hAnsi="仿宋"/>
          <w:color w:val="000000" w:themeColor="text1"/>
          <w:szCs w:val="30"/>
          <w14:textFill>
            <w14:solidFill>
              <w14:schemeClr w14:val="tx1"/>
            </w14:solidFill>
          </w14:textFill>
        </w:rPr>
      </w:pPr>
      <w:r>
        <w:rPr>
          <w:rFonts w:hAnsi="仿宋"/>
          <w:color w:val="000000" w:themeColor="text1"/>
          <w:szCs w:val="30"/>
          <w14:textFill>
            <w14:solidFill>
              <w14:schemeClr w14:val="tx1"/>
            </w14:solidFill>
          </w14:textFill>
        </w:rPr>
        <w:t>定性指标评价数据主要通过座谈访谈、问卷调查等方式获得。其中涉及全市整体情况的定性数据，由红塔区财政局和区城管局</w:t>
      </w:r>
      <w:r>
        <w:rPr>
          <w:rFonts w:hint="eastAsia" w:hAnsi="仿宋"/>
          <w:color w:val="000000" w:themeColor="text1"/>
          <w:szCs w:val="30"/>
          <w14:textFill>
            <w14:solidFill>
              <w14:schemeClr w14:val="tx1"/>
            </w14:solidFill>
          </w14:textFill>
        </w:rPr>
        <w:t>负</w:t>
      </w:r>
      <w:r>
        <w:rPr>
          <w:rFonts w:hAnsi="仿宋"/>
          <w:color w:val="000000" w:themeColor="text1"/>
          <w:szCs w:val="30"/>
          <w14:textFill>
            <w14:solidFill>
              <w14:schemeClr w14:val="tx1"/>
            </w14:solidFill>
          </w14:textFill>
        </w:rPr>
        <w:t xml:space="preserve">责提供相关资料予以支撑；抽样数据由中介机构负责通过访谈、问卷调查等方式收集。 </w:t>
      </w:r>
    </w:p>
    <w:p>
      <w:pPr>
        <w:spacing w:line="579" w:lineRule="exact"/>
        <w:ind w:firstLine="630" w:firstLineChars="200"/>
        <w:outlineLvl w:val="1"/>
        <w:rPr>
          <w:rFonts w:ascii="楷体" w:hAnsi="楷体" w:eastAsia="楷体"/>
          <w:szCs w:val="30"/>
        </w:rPr>
      </w:pPr>
      <w:bookmarkStart w:id="101" w:name="_Toc23235_WPSOffice_Level2"/>
      <w:bookmarkStart w:id="102" w:name="_Toc18030_WPSOffice_Level2"/>
      <w:r>
        <w:rPr>
          <w:rFonts w:hint="eastAsia" w:ascii="楷体" w:hAnsi="楷体" w:eastAsia="楷体"/>
          <w:szCs w:val="30"/>
        </w:rPr>
        <w:t>（四）绩效再评价抽样</w:t>
      </w:r>
      <w:bookmarkEnd w:id="101"/>
      <w:bookmarkEnd w:id="102"/>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本次绩效再评价从红塔区财政局、区管理局实现管理层级全覆盖。根据各分局所管辖范围、资金分配等综合情况，从涉及本项目的立交及中心城区部分（不含东风路）和黑杨林改造部分作为实地抽样评价点，项目抽样点占总项目数</w:t>
      </w:r>
      <w:r>
        <w:rPr>
          <w:rFonts w:hAnsi="仿宋"/>
          <w:color w:val="000000" w:themeColor="text1"/>
          <w:szCs w:val="30"/>
          <w14:textFill>
            <w14:solidFill>
              <w14:schemeClr w14:val="tx1"/>
            </w14:solidFill>
          </w14:textFill>
        </w:rPr>
        <w:t>100%，抽样财政资金2000万元，占财政总资金量为100%。</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另外，实地调研和再评价中，深入了解项目实施情况及效果，审核工程项目招标投标、工程监理、信息公开、合同管理、现场签证、验收报告、竣工结算、决算等资料并在绩效评价报告中增加工程注册造价师审核意见。</w:t>
      </w:r>
    </w:p>
    <w:p>
      <w:pPr>
        <w:spacing w:line="579" w:lineRule="exact"/>
        <w:ind w:firstLine="630" w:firstLineChars="200"/>
        <w:rPr>
          <w:rFonts w:hAnsi="仿宋"/>
          <w:color w:val="000000" w:themeColor="text1"/>
          <w:szCs w:val="30"/>
          <w14:textFill>
            <w14:solidFill>
              <w14:schemeClr w14:val="tx1"/>
            </w14:solidFill>
          </w14:textFill>
        </w:rPr>
      </w:pPr>
      <w:r>
        <w:rPr>
          <w:rFonts w:hint="eastAsia" w:hAnsi="仿宋"/>
          <w:color w:val="000000" w:themeColor="text1"/>
          <w:szCs w:val="30"/>
          <w14:textFill>
            <w14:solidFill>
              <w14:schemeClr w14:val="tx1"/>
            </w14:solidFill>
          </w14:textFill>
        </w:rPr>
        <w:t>通过与项目实施单位深入沟通，全面了解项目的整体情况，对项目资金分配、实施中存在的问题、管理经验和相关建议进行全面收集，形成点面结合、个别与整体相结合的评价模式，以取得全面而真实有效的信息。</w:t>
      </w:r>
    </w:p>
    <w:p>
      <w:pPr>
        <w:spacing w:line="579" w:lineRule="exact"/>
        <w:ind w:firstLine="630" w:firstLineChars="200"/>
        <w:outlineLvl w:val="0"/>
        <w:rPr>
          <w:rFonts w:ascii="黑体" w:hAnsi="宋体" w:eastAsia="黑体" w:cs="宋体"/>
          <w:szCs w:val="30"/>
        </w:rPr>
      </w:pPr>
      <w:bookmarkStart w:id="103" w:name="_Toc18250882"/>
      <w:bookmarkStart w:id="104" w:name="_Toc13060_WPSOffice_Level1"/>
      <w:bookmarkStart w:id="105" w:name="_Toc32078_WPSOffice_Level1"/>
      <w:r>
        <w:rPr>
          <w:rFonts w:hint="eastAsia" w:ascii="黑体" w:hAnsi="宋体" w:eastAsia="黑体" w:cs="宋体"/>
          <w:szCs w:val="30"/>
        </w:rPr>
        <w:t>四、绩效再评价结论</w:t>
      </w:r>
      <w:bookmarkEnd w:id="103"/>
      <w:bookmarkEnd w:id="104"/>
      <w:bookmarkEnd w:id="105"/>
    </w:p>
    <w:p>
      <w:pPr>
        <w:spacing w:line="579" w:lineRule="exact"/>
        <w:ind w:firstLine="630" w:firstLineChars="200"/>
        <w:outlineLvl w:val="1"/>
        <w:rPr>
          <w:rFonts w:ascii="楷体" w:hAnsi="楷体" w:eastAsia="楷体"/>
          <w:szCs w:val="30"/>
        </w:rPr>
      </w:pPr>
      <w:bookmarkStart w:id="106" w:name="_Toc18250883"/>
      <w:bookmarkStart w:id="107" w:name="_Toc27418_WPSOffice_Level2"/>
      <w:bookmarkStart w:id="108" w:name="_Toc6342_WPSOffice_Level2"/>
      <w:r>
        <w:rPr>
          <w:rFonts w:hint="eastAsia" w:ascii="楷体" w:hAnsi="楷体" w:eastAsia="楷体"/>
          <w:szCs w:val="30"/>
        </w:rPr>
        <w:t>（一）绩效再评价综合结论</w:t>
      </w:r>
      <w:bookmarkEnd w:id="106"/>
      <w:bookmarkEnd w:id="107"/>
      <w:bookmarkEnd w:id="108"/>
    </w:p>
    <w:p>
      <w:pPr>
        <w:spacing w:line="579" w:lineRule="exact"/>
        <w:ind w:firstLine="630" w:firstLineChars="200"/>
        <w:rPr>
          <w:rFonts w:hAnsi="仿宋"/>
          <w:szCs w:val="30"/>
        </w:rPr>
      </w:pPr>
      <w:bookmarkStart w:id="109" w:name="_Hlk525314439"/>
      <w:r>
        <w:rPr>
          <w:rFonts w:hint="eastAsia" w:hAnsi="仿宋"/>
          <w:szCs w:val="30"/>
        </w:rPr>
        <w:t>玉溪市中心城区“花城”景观建设市级补助资金项目绩效再评价得分</w:t>
      </w:r>
      <w:r>
        <w:rPr>
          <w:rFonts w:hAnsi="仿宋"/>
          <w:szCs w:val="30"/>
        </w:rPr>
        <w:t>62.10</w:t>
      </w:r>
      <w:r>
        <w:rPr>
          <w:rFonts w:hint="eastAsia" w:hAnsi="仿宋"/>
          <w:szCs w:val="30"/>
        </w:rPr>
        <w:t>分，评价等级为“中”。一级指标具体得分情况详见下表：</w:t>
      </w:r>
    </w:p>
    <w:p>
      <w:pPr>
        <w:jc w:val="center"/>
        <w:rPr>
          <w:rFonts w:ascii="黑体" w:hAnsi="黑体" w:eastAsia="黑体" w:cs="宋体"/>
          <w:bCs/>
          <w:sz w:val="24"/>
          <w:szCs w:val="24"/>
        </w:rPr>
      </w:pPr>
      <w:r>
        <w:rPr>
          <w:rFonts w:hint="eastAsia" w:ascii="黑体" w:hAnsi="黑体" w:eastAsia="黑体" w:cs="宋体"/>
          <w:bCs/>
          <w:sz w:val="24"/>
          <w:szCs w:val="24"/>
        </w:rPr>
        <w:t>表</w:t>
      </w:r>
      <w:r>
        <w:rPr>
          <w:rFonts w:ascii="黑体" w:hAnsi="黑体" w:eastAsia="黑体" w:cs="宋体"/>
          <w:bCs/>
          <w:sz w:val="24"/>
          <w:szCs w:val="24"/>
        </w:rPr>
        <w:t>1</w:t>
      </w:r>
      <w:r>
        <w:rPr>
          <w:rFonts w:hint="eastAsia" w:ascii="黑体" w:hAnsi="黑体" w:eastAsia="黑体" w:cs="宋体"/>
          <w:bCs/>
          <w:sz w:val="24"/>
          <w:szCs w:val="24"/>
        </w:rPr>
        <w:t>：绩效再评价得分情况表</w:t>
      </w:r>
    </w:p>
    <w:tbl>
      <w:tblPr>
        <w:tblStyle w:val="16"/>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2212"/>
        <w:gridCol w:w="2211"/>
        <w:gridCol w:w="2211"/>
        <w:gridCol w:w="22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Header/>
          <w:jc w:val="center"/>
        </w:trPr>
        <w:tc>
          <w:tcPr>
            <w:tcW w:w="2212"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一级指标</w:t>
            </w:r>
          </w:p>
        </w:tc>
        <w:tc>
          <w:tcPr>
            <w:tcW w:w="2211"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指标分值</w:t>
            </w:r>
          </w:p>
        </w:tc>
        <w:tc>
          <w:tcPr>
            <w:tcW w:w="2211"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评价得分</w:t>
            </w:r>
          </w:p>
        </w:tc>
        <w:tc>
          <w:tcPr>
            <w:tcW w:w="2211"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jc w:val="center"/>
              <w:rPr>
                <w:rFonts w:hAnsi="仿宋" w:cs="宋体"/>
                <w:bCs/>
                <w:spacing w:val="6"/>
                <w:sz w:val="21"/>
              </w:rPr>
            </w:pPr>
            <w:r>
              <w:rPr>
                <w:rFonts w:hAnsi="仿宋" w:cs="宋体"/>
                <w:bCs/>
                <w:spacing w:val="6"/>
                <w:sz w:val="21"/>
              </w:rPr>
              <w:t>投入</w:t>
            </w:r>
          </w:p>
        </w:tc>
        <w:tc>
          <w:tcPr>
            <w:tcW w:w="2211" w:type="dxa"/>
            <w:vAlign w:val="center"/>
          </w:tcPr>
          <w:p>
            <w:pPr>
              <w:snapToGrid w:val="0"/>
              <w:jc w:val="center"/>
              <w:rPr>
                <w:rFonts w:hAnsi="仿宋" w:cs="宋体"/>
                <w:bCs/>
                <w:spacing w:val="6"/>
                <w:sz w:val="21"/>
              </w:rPr>
            </w:pPr>
            <w:r>
              <w:rPr>
                <w:rFonts w:hAnsi="仿宋" w:cs="宋体"/>
                <w:bCs/>
                <w:spacing w:val="6"/>
                <w:sz w:val="21"/>
              </w:rPr>
              <w:t>20</w:t>
            </w:r>
          </w:p>
        </w:tc>
        <w:tc>
          <w:tcPr>
            <w:tcW w:w="2211" w:type="dxa"/>
            <w:vAlign w:val="center"/>
          </w:tcPr>
          <w:p>
            <w:pPr>
              <w:snapToGrid w:val="0"/>
              <w:jc w:val="center"/>
              <w:rPr>
                <w:rFonts w:hAnsi="仿宋" w:cs="宋体"/>
                <w:bCs/>
                <w:spacing w:val="6"/>
                <w:sz w:val="21"/>
              </w:rPr>
            </w:pPr>
            <w:r>
              <w:rPr>
                <w:rFonts w:hAnsi="仿宋" w:cs="宋体"/>
                <w:bCs/>
                <w:spacing w:val="6"/>
                <w:sz w:val="21"/>
              </w:rPr>
              <w:t>10.06</w:t>
            </w:r>
          </w:p>
        </w:tc>
        <w:tc>
          <w:tcPr>
            <w:tcW w:w="2211" w:type="dxa"/>
            <w:vAlign w:val="center"/>
          </w:tcPr>
          <w:p>
            <w:pPr>
              <w:snapToGrid w:val="0"/>
              <w:jc w:val="center"/>
              <w:rPr>
                <w:rFonts w:hAnsi="仿宋" w:cs="宋体"/>
                <w:bCs/>
                <w:spacing w:val="6"/>
                <w:sz w:val="21"/>
              </w:rPr>
            </w:pPr>
            <w:r>
              <w:rPr>
                <w:rFonts w:hAnsi="仿宋" w:cs="宋体"/>
                <w:bCs/>
                <w:spacing w:val="6"/>
                <w:sz w:val="21"/>
              </w:rPr>
              <w:t>50.30</w:t>
            </w:r>
            <w:r>
              <w:rPr>
                <w:rFonts w:hint="eastAsia" w:hAnsi="仿宋" w:cs="宋体"/>
                <w:bCs/>
                <w:spacing w:val="6"/>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jc w:val="center"/>
              <w:rPr>
                <w:rFonts w:hAnsi="仿宋" w:cs="宋体"/>
                <w:bCs/>
                <w:spacing w:val="6"/>
                <w:sz w:val="21"/>
              </w:rPr>
            </w:pPr>
            <w:r>
              <w:rPr>
                <w:rFonts w:hAnsi="仿宋" w:cs="宋体"/>
                <w:bCs/>
                <w:spacing w:val="6"/>
                <w:sz w:val="21"/>
              </w:rPr>
              <w:t>过程</w:t>
            </w:r>
          </w:p>
        </w:tc>
        <w:tc>
          <w:tcPr>
            <w:tcW w:w="2211" w:type="dxa"/>
            <w:vAlign w:val="center"/>
          </w:tcPr>
          <w:p>
            <w:pPr>
              <w:snapToGrid w:val="0"/>
              <w:jc w:val="center"/>
              <w:rPr>
                <w:rFonts w:hAnsi="仿宋" w:cs="宋体"/>
                <w:bCs/>
                <w:spacing w:val="6"/>
                <w:sz w:val="21"/>
              </w:rPr>
            </w:pPr>
            <w:r>
              <w:rPr>
                <w:rFonts w:hAnsi="仿宋" w:cs="宋体"/>
                <w:bCs/>
                <w:spacing w:val="6"/>
                <w:sz w:val="21"/>
              </w:rPr>
              <w:t>25</w:t>
            </w:r>
          </w:p>
        </w:tc>
        <w:tc>
          <w:tcPr>
            <w:tcW w:w="2211" w:type="dxa"/>
            <w:vAlign w:val="center"/>
          </w:tcPr>
          <w:p>
            <w:pPr>
              <w:snapToGrid w:val="0"/>
              <w:jc w:val="center"/>
              <w:rPr>
                <w:rFonts w:hAnsi="仿宋" w:cs="宋体"/>
                <w:bCs/>
                <w:spacing w:val="6"/>
                <w:sz w:val="21"/>
              </w:rPr>
            </w:pPr>
            <w:r>
              <w:rPr>
                <w:rFonts w:hAnsi="仿宋" w:cs="宋体"/>
                <w:bCs/>
                <w:spacing w:val="6"/>
                <w:sz w:val="21"/>
              </w:rPr>
              <w:t>17</w:t>
            </w:r>
          </w:p>
        </w:tc>
        <w:tc>
          <w:tcPr>
            <w:tcW w:w="2211" w:type="dxa"/>
            <w:vAlign w:val="center"/>
          </w:tcPr>
          <w:p>
            <w:pPr>
              <w:snapToGrid w:val="0"/>
              <w:jc w:val="center"/>
              <w:rPr>
                <w:rFonts w:hAnsi="仿宋" w:cs="宋体"/>
                <w:bCs/>
                <w:spacing w:val="6"/>
                <w:sz w:val="21"/>
              </w:rPr>
            </w:pPr>
            <w:r>
              <w:rPr>
                <w:rFonts w:hAnsi="仿宋" w:cs="宋体"/>
                <w:bCs/>
                <w:spacing w:val="6"/>
                <w:sz w:val="21"/>
              </w:rPr>
              <w:t>68.00</w:t>
            </w:r>
            <w:r>
              <w:rPr>
                <w:rFonts w:hint="eastAsia" w:hAnsi="仿宋" w:cs="宋体"/>
                <w:bCs/>
                <w:spacing w:val="6"/>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jc w:val="center"/>
              <w:rPr>
                <w:rFonts w:hAnsi="仿宋" w:cs="宋体"/>
                <w:bCs/>
                <w:spacing w:val="6"/>
                <w:sz w:val="21"/>
              </w:rPr>
            </w:pPr>
            <w:r>
              <w:rPr>
                <w:rFonts w:hAnsi="仿宋" w:cs="宋体"/>
                <w:bCs/>
                <w:spacing w:val="6"/>
                <w:sz w:val="21"/>
              </w:rPr>
              <w:t>产出</w:t>
            </w:r>
          </w:p>
        </w:tc>
        <w:tc>
          <w:tcPr>
            <w:tcW w:w="2211" w:type="dxa"/>
            <w:vAlign w:val="center"/>
          </w:tcPr>
          <w:p>
            <w:pPr>
              <w:snapToGrid w:val="0"/>
              <w:jc w:val="center"/>
              <w:rPr>
                <w:rFonts w:hAnsi="仿宋" w:cs="宋体"/>
                <w:bCs/>
                <w:spacing w:val="6"/>
                <w:sz w:val="21"/>
              </w:rPr>
            </w:pPr>
            <w:r>
              <w:rPr>
                <w:rFonts w:hAnsi="仿宋" w:cs="宋体"/>
                <w:bCs/>
                <w:spacing w:val="6"/>
                <w:sz w:val="21"/>
              </w:rPr>
              <w:t>30</w:t>
            </w:r>
          </w:p>
        </w:tc>
        <w:tc>
          <w:tcPr>
            <w:tcW w:w="2211" w:type="dxa"/>
            <w:vAlign w:val="center"/>
          </w:tcPr>
          <w:p>
            <w:pPr>
              <w:snapToGrid w:val="0"/>
              <w:jc w:val="center"/>
              <w:rPr>
                <w:rFonts w:hAnsi="仿宋" w:cs="宋体"/>
                <w:bCs/>
                <w:spacing w:val="6"/>
                <w:sz w:val="21"/>
              </w:rPr>
            </w:pPr>
            <w:r>
              <w:rPr>
                <w:rFonts w:hAnsi="仿宋" w:cs="宋体"/>
                <w:bCs/>
                <w:spacing w:val="6"/>
                <w:sz w:val="21"/>
              </w:rPr>
              <w:t>18.04</w:t>
            </w:r>
          </w:p>
        </w:tc>
        <w:tc>
          <w:tcPr>
            <w:tcW w:w="2211" w:type="dxa"/>
            <w:vAlign w:val="center"/>
          </w:tcPr>
          <w:p>
            <w:pPr>
              <w:snapToGrid w:val="0"/>
              <w:jc w:val="center"/>
              <w:rPr>
                <w:rFonts w:hAnsi="仿宋" w:cs="宋体"/>
                <w:bCs/>
                <w:spacing w:val="6"/>
                <w:sz w:val="21"/>
              </w:rPr>
            </w:pPr>
            <w:r>
              <w:rPr>
                <w:rFonts w:hAnsi="仿宋" w:cs="宋体"/>
                <w:bCs/>
                <w:spacing w:val="6"/>
                <w:sz w:val="21"/>
              </w:rPr>
              <w:t>60.13</w:t>
            </w:r>
            <w:r>
              <w:rPr>
                <w:rFonts w:hint="eastAsia" w:hAnsi="仿宋" w:cs="宋体"/>
                <w:bCs/>
                <w:spacing w:val="6"/>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jc w:val="center"/>
              <w:rPr>
                <w:rFonts w:hAnsi="仿宋" w:cs="宋体"/>
                <w:bCs/>
                <w:spacing w:val="6"/>
                <w:sz w:val="21"/>
              </w:rPr>
            </w:pPr>
            <w:r>
              <w:rPr>
                <w:rFonts w:hAnsi="仿宋" w:cs="宋体"/>
                <w:bCs/>
                <w:spacing w:val="6"/>
                <w:sz w:val="21"/>
              </w:rPr>
              <w:t>效果</w:t>
            </w:r>
          </w:p>
        </w:tc>
        <w:tc>
          <w:tcPr>
            <w:tcW w:w="2211" w:type="dxa"/>
            <w:vAlign w:val="center"/>
          </w:tcPr>
          <w:p>
            <w:pPr>
              <w:snapToGrid w:val="0"/>
              <w:jc w:val="center"/>
              <w:rPr>
                <w:rFonts w:hAnsi="仿宋" w:cs="宋体"/>
                <w:bCs/>
                <w:spacing w:val="6"/>
                <w:sz w:val="21"/>
              </w:rPr>
            </w:pPr>
            <w:r>
              <w:rPr>
                <w:rFonts w:hAnsi="仿宋" w:cs="宋体"/>
                <w:bCs/>
                <w:spacing w:val="6"/>
                <w:sz w:val="21"/>
              </w:rPr>
              <w:t>25</w:t>
            </w:r>
          </w:p>
        </w:tc>
        <w:tc>
          <w:tcPr>
            <w:tcW w:w="2211" w:type="dxa"/>
            <w:vAlign w:val="center"/>
          </w:tcPr>
          <w:p>
            <w:pPr>
              <w:snapToGrid w:val="0"/>
              <w:jc w:val="center"/>
              <w:rPr>
                <w:rFonts w:hAnsi="仿宋" w:cs="宋体"/>
                <w:bCs/>
                <w:spacing w:val="6"/>
                <w:sz w:val="21"/>
              </w:rPr>
            </w:pPr>
            <w:r>
              <w:rPr>
                <w:rFonts w:hint="eastAsia" w:hAnsi="仿宋" w:cs="宋体"/>
                <w:bCs/>
                <w:spacing w:val="6"/>
                <w:sz w:val="21"/>
              </w:rPr>
              <w:t>1</w:t>
            </w:r>
            <w:r>
              <w:rPr>
                <w:rFonts w:hAnsi="仿宋" w:cs="宋体"/>
                <w:bCs/>
                <w:spacing w:val="6"/>
                <w:sz w:val="21"/>
              </w:rPr>
              <w:t>7</w:t>
            </w:r>
          </w:p>
        </w:tc>
        <w:tc>
          <w:tcPr>
            <w:tcW w:w="2211" w:type="dxa"/>
            <w:vAlign w:val="center"/>
          </w:tcPr>
          <w:p>
            <w:pPr>
              <w:snapToGrid w:val="0"/>
              <w:jc w:val="center"/>
              <w:rPr>
                <w:rFonts w:hAnsi="仿宋" w:cs="宋体"/>
                <w:bCs/>
                <w:spacing w:val="6"/>
                <w:sz w:val="21"/>
              </w:rPr>
            </w:pPr>
            <w:r>
              <w:rPr>
                <w:rFonts w:hAnsi="仿宋" w:cs="宋体"/>
                <w:bCs/>
                <w:spacing w:val="6"/>
                <w:sz w:val="21"/>
              </w:rPr>
              <w:t>68.00</w:t>
            </w:r>
            <w:r>
              <w:rPr>
                <w:rFonts w:hint="eastAsia" w:hAnsi="仿宋" w:cs="宋体"/>
                <w:bCs/>
                <w:spacing w:val="6"/>
                <w:sz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jc w:val="center"/>
        </w:trPr>
        <w:tc>
          <w:tcPr>
            <w:tcW w:w="2212" w:type="dxa"/>
            <w:vAlign w:val="center"/>
          </w:tcPr>
          <w:p>
            <w:pPr>
              <w:snapToGrid w:val="0"/>
              <w:jc w:val="center"/>
              <w:rPr>
                <w:rFonts w:hAnsi="仿宋" w:cs="宋体"/>
                <w:b/>
                <w:bCs/>
                <w:spacing w:val="6"/>
                <w:sz w:val="21"/>
              </w:rPr>
            </w:pPr>
            <w:r>
              <w:rPr>
                <w:rFonts w:hAnsi="仿宋" w:cs="宋体"/>
                <w:b/>
                <w:bCs/>
                <w:spacing w:val="6"/>
                <w:sz w:val="21"/>
              </w:rPr>
              <w:t>合</w:t>
            </w:r>
            <w:r>
              <w:rPr>
                <w:rFonts w:hint="eastAsia" w:hAnsi="仿宋" w:cs="宋体"/>
                <w:b/>
                <w:bCs/>
                <w:spacing w:val="6"/>
                <w:sz w:val="21"/>
              </w:rPr>
              <w:t xml:space="preserve"> </w:t>
            </w:r>
            <w:r>
              <w:rPr>
                <w:rFonts w:hAnsi="仿宋" w:cs="宋体"/>
                <w:b/>
                <w:bCs/>
                <w:spacing w:val="6"/>
                <w:sz w:val="21"/>
              </w:rPr>
              <w:t>计</w:t>
            </w:r>
          </w:p>
        </w:tc>
        <w:tc>
          <w:tcPr>
            <w:tcW w:w="2211" w:type="dxa"/>
            <w:vAlign w:val="center"/>
          </w:tcPr>
          <w:p>
            <w:pPr>
              <w:snapToGrid w:val="0"/>
              <w:jc w:val="center"/>
              <w:rPr>
                <w:rFonts w:hAnsi="仿宋" w:cs="宋体"/>
                <w:b/>
                <w:bCs/>
                <w:spacing w:val="6"/>
                <w:sz w:val="21"/>
              </w:rPr>
            </w:pPr>
            <w:r>
              <w:rPr>
                <w:rFonts w:hint="eastAsia" w:hAnsi="仿宋" w:cs="宋体"/>
                <w:b/>
                <w:bCs/>
                <w:spacing w:val="6"/>
                <w:sz w:val="21"/>
              </w:rPr>
              <w:t>1</w:t>
            </w:r>
            <w:r>
              <w:rPr>
                <w:rFonts w:hAnsi="仿宋" w:cs="宋体"/>
                <w:b/>
                <w:bCs/>
                <w:spacing w:val="6"/>
                <w:sz w:val="21"/>
              </w:rPr>
              <w:t>00</w:t>
            </w:r>
          </w:p>
        </w:tc>
        <w:tc>
          <w:tcPr>
            <w:tcW w:w="2211" w:type="dxa"/>
            <w:vAlign w:val="center"/>
          </w:tcPr>
          <w:p>
            <w:pPr>
              <w:snapToGrid w:val="0"/>
              <w:jc w:val="center"/>
              <w:rPr>
                <w:rFonts w:hAnsi="仿宋" w:cs="宋体"/>
                <w:b/>
                <w:bCs/>
                <w:spacing w:val="6"/>
                <w:sz w:val="21"/>
              </w:rPr>
            </w:pPr>
            <w:r>
              <w:rPr>
                <w:rFonts w:hAnsi="仿宋" w:cs="宋体"/>
                <w:b/>
                <w:bCs/>
                <w:spacing w:val="6"/>
                <w:sz w:val="21"/>
              </w:rPr>
              <w:t>62.10</w:t>
            </w:r>
          </w:p>
        </w:tc>
        <w:tc>
          <w:tcPr>
            <w:tcW w:w="2211" w:type="dxa"/>
            <w:vAlign w:val="center"/>
          </w:tcPr>
          <w:p>
            <w:pPr>
              <w:snapToGrid w:val="0"/>
              <w:jc w:val="center"/>
              <w:rPr>
                <w:rFonts w:hAnsi="仿宋" w:cs="宋体"/>
                <w:b/>
                <w:bCs/>
                <w:spacing w:val="6"/>
                <w:sz w:val="21"/>
              </w:rPr>
            </w:pPr>
            <w:r>
              <w:rPr>
                <w:rFonts w:hAnsi="仿宋" w:cs="宋体"/>
                <w:b/>
                <w:bCs/>
                <w:spacing w:val="6"/>
                <w:sz w:val="21"/>
              </w:rPr>
              <w:t>62.10</w:t>
            </w:r>
            <w:r>
              <w:rPr>
                <w:rFonts w:hint="eastAsia" w:hAnsi="仿宋" w:cs="宋体"/>
                <w:b/>
                <w:bCs/>
                <w:spacing w:val="6"/>
                <w:sz w:val="21"/>
              </w:rPr>
              <w:t>%</w:t>
            </w:r>
          </w:p>
        </w:tc>
      </w:tr>
    </w:tbl>
    <w:p>
      <w:pPr>
        <w:widowControl/>
        <w:spacing w:line="579" w:lineRule="exact"/>
        <w:ind w:firstLine="630" w:firstLineChars="200"/>
        <w:rPr>
          <w:rFonts w:cs="仿宋"/>
          <w:szCs w:val="30"/>
        </w:rPr>
      </w:pPr>
      <w:r>
        <w:rPr>
          <w:rFonts w:hint="eastAsia" w:hAnsi="仿宋"/>
          <w:szCs w:val="30"/>
        </w:rPr>
        <w:t>综合评价结论</w:t>
      </w:r>
      <w:r>
        <w:rPr>
          <w:rFonts w:hAnsi="仿宋"/>
          <w:szCs w:val="30"/>
        </w:rPr>
        <w:t>:</w:t>
      </w:r>
      <w:bookmarkEnd w:id="109"/>
      <w:r>
        <w:rPr>
          <w:rFonts w:hint="eastAsia" w:cs="仿宋"/>
          <w:szCs w:val="30"/>
        </w:rPr>
        <w:t>2</w:t>
      </w:r>
      <w:r>
        <w:rPr>
          <w:rFonts w:cs="仿宋"/>
          <w:szCs w:val="30"/>
        </w:rPr>
        <w:t>018</w:t>
      </w:r>
      <w:r>
        <w:rPr>
          <w:rFonts w:hint="eastAsia" w:cs="仿宋"/>
          <w:szCs w:val="30"/>
        </w:rPr>
        <w:t>年玉溪市中心城区“花城”景观建设市级补助资金项目总体实施情况一般。项目实施前编制了初步设计及投资概算，制定了相应的工程项目管理制度及资金管理办法，项目执行法人、招标投标、工程监理、信息公开、合同管理等五项制度；实施过程中区城管局派出工程人员监管，项目宣传到位、档案管理规范、会计核算规范。但同时也存在以下问题：</w:t>
      </w:r>
      <w:r>
        <w:rPr>
          <w:rFonts w:hint="eastAsia" w:hAnsi="仿宋"/>
          <w:szCs w:val="30"/>
        </w:rPr>
        <w:t>项目责任主体不明确，</w:t>
      </w:r>
      <w:r>
        <w:rPr>
          <w:rFonts w:hint="eastAsia" w:hAnsi="仿宋" w:cs="宋体"/>
          <w:bCs/>
          <w:szCs w:val="30"/>
        </w:rPr>
        <w:t>前期准备工作不充分，未编制项目建议书及可行性研究报告；项目未设置相应的绩效目标和清晰、细化、可衡量的绩效指标；专项</w:t>
      </w:r>
      <w:r>
        <w:rPr>
          <w:rFonts w:hint="eastAsia" w:hAnsi="仿宋"/>
          <w:kern w:val="2"/>
          <w:szCs w:val="30"/>
        </w:rPr>
        <w:t>资金监管不到位；资金到位不及时，配套资金未到位，资金使用不规范；项目进度滞后，整个中心城区整体环境改善与预期目标存在一定差距。</w:t>
      </w:r>
    </w:p>
    <w:p>
      <w:pPr>
        <w:spacing w:line="579" w:lineRule="exact"/>
        <w:ind w:firstLine="630" w:firstLineChars="200"/>
        <w:outlineLvl w:val="1"/>
        <w:rPr>
          <w:rFonts w:ascii="楷体" w:hAnsi="楷体" w:eastAsia="楷体"/>
          <w:szCs w:val="30"/>
        </w:rPr>
      </w:pPr>
      <w:bookmarkStart w:id="110" w:name="_Toc28860_WPSOffice_Level2"/>
      <w:bookmarkStart w:id="111" w:name="_Toc18250884"/>
      <w:bookmarkStart w:id="112" w:name="_Toc4470_WPSOffice_Level2"/>
      <w:r>
        <w:rPr>
          <w:rFonts w:hint="eastAsia" w:ascii="楷体" w:hAnsi="楷体" w:eastAsia="楷体"/>
          <w:szCs w:val="30"/>
        </w:rPr>
        <w:t>（二）绩效目标实现情况</w:t>
      </w:r>
      <w:bookmarkEnd w:id="110"/>
      <w:bookmarkEnd w:id="111"/>
      <w:bookmarkEnd w:id="112"/>
    </w:p>
    <w:p>
      <w:pPr>
        <w:widowControl/>
        <w:spacing w:line="579" w:lineRule="exact"/>
        <w:ind w:firstLine="630" w:firstLineChars="200"/>
        <w:rPr>
          <w:rFonts w:hAnsi="仿宋"/>
          <w:szCs w:val="30"/>
        </w:rPr>
      </w:pPr>
      <w:bookmarkStart w:id="113" w:name="_Hlk525314457"/>
      <w:r>
        <w:rPr>
          <w:rFonts w:hint="eastAsia" w:hAnsi="仿宋"/>
          <w:kern w:val="2"/>
          <w:szCs w:val="30"/>
        </w:rPr>
        <w:t>根据再评价情况，玉溪市中心城区“花城”景观建设市级补助资金项目绩效目标基本达成，</w:t>
      </w:r>
      <w:r>
        <w:rPr>
          <w:rFonts w:hAnsi="仿宋"/>
          <w:kern w:val="2"/>
          <w:szCs w:val="30"/>
        </w:rPr>
        <w:t>15</w:t>
      </w:r>
      <w:r>
        <w:rPr>
          <w:rFonts w:hint="eastAsia" w:hAnsi="仿宋"/>
          <w:kern w:val="2"/>
          <w:szCs w:val="30"/>
        </w:rPr>
        <w:t>项具体绩效指标中有</w:t>
      </w:r>
      <w:r>
        <w:rPr>
          <w:rFonts w:hAnsi="仿宋"/>
          <w:kern w:val="2"/>
          <w:szCs w:val="30"/>
        </w:rPr>
        <w:t>4</w:t>
      </w:r>
      <w:r>
        <w:rPr>
          <w:rFonts w:hint="eastAsia" w:hAnsi="仿宋"/>
          <w:kern w:val="2"/>
          <w:szCs w:val="30"/>
        </w:rPr>
        <w:t>项指标实现预期目标，</w:t>
      </w:r>
      <w:r>
        <w:rPr>
          <w:rFonts w:hAnsi="仿宋"/>
          <w:kern w:val="2"/>
          <w:szCs w:val="30"/>
        </w:rPr>
        <w:t>8</w:t>
      </w:r>
      <w:r>
        <w:rPr>
          <w:rFonts w:hint="eastAsia" w:hAnsi="仿宋"/>
          <w:kern w:val="2"/>
          <w:szCs w:val="30"/>
        </w:rPr>
        <w:t>项指标未完全实现预期目标，</w:t>
      </w:r>
      <w:r>
        <w:rPr>
          <w:rFonts w:hAnsi="仿宋"/>
          <w:kern w:val="2"/>
          <w:szCs w:val="30"/>
        </w:rPr>
        <w:t>3</w:t>
      </w:r>
      <w:r>
        <w:rPr>
          <w:rFonts w:hint="eastAsia" w:hAnsi="仿宋"/>
          <w:kern w:val="2"/>
          <w:szCs w:val="30"/>
        </w:rPr>
        <w:t>项指标未完成预期目标</w:t>
      </w:r>
      <w:r>
        <w:rPr>
          <w:rFonts w:hAnsi="仿宋"/>
          <w:kern w:val="2"/>
          <w:szCs w:val="30"/>
        </w:rPr>
        <w:t>。</w:t>
      </w:r>
      <w:r>
        <w:rPr>
          <w:rFonts w:hint="eastAsia" w:hAnsi="仿宋"/>
          <w:kern w:val="2"/>
          <w:szCs w:val="30"/>
        </w:rPr>
        <w:t>具体完成情况详见表</w:t>
      </w:r>
      <w:r>
        <w:rPr>
          <w:rFonts w:hAnsi="仿宋"/>
          <w:kern w:val="2"/>
          <w:szCs w:val="30"/>
        </w:rPr>
        <w:t>2</w:t>
      </w:r>
      <w:r>
        <w:rPr>
          <w:rFonts w:hint="eastAsia" w:hAnsi="仿宋"/>
          <w:szCs w:val="30"/>
        </w:rPr>
        <w:t>。</w:t>
      </w:r>
    </w:p>
    <w:p>
      <w:pPr>
        <w:jc w:val="center"/>
        <w:rPr>
          <w:rFonts w:ascii="黑体" w:hAnsi="黑体" w:eastAsia="黑体"/>
          <w:szCs w:val="30"/>
        </w:rPr>
      </w:pPr>
      <w:r>
        <w:rPr>
          <w:rFonts w:hint="eastAsia" w:ascii="黑体" w:hAnsi="黑体" w:eastAsia="黑体" w:cs="宋体"/>
          <w:bCs/>
          <w:sz w:val="24"/>
          <w:szCs w:val="24"/>
        </w:rPr>
        <w:t>表</w:t>
      </w:r>
      <w:r>
        <w:rPr>
          <w:rFonts w:ascii="黑体" w:hAnsi="黑体" w:eastAsia="黑体" w:cs="宋体"/>
          <w:bCs/>
          <w:sz w:val="24"/>
          <w:szCs w:val="24"/>
        </w:rPr>
        <w:t>2</w:t>
      </w:r>
      <w:r>
        <w:rPr>
          <w:rFonts w:hint="eastAsia" w:ascii="黑体" w:hAnsi="黑体" w:eastAsia="黑体" w:cs="宋体"/>
          <w:bCs/>
          <w:sz w:val="24"/>
          <w:szCs w:val="24"/>
        </w:rPr>
        <w:t>：年初绩效指标完成情况表</w:t>
      </w:r>
    </w:p>
    <w:tbl>
      <w:tblPr>
        <w:tblStyle w:val="16"/>
        <w:tblpPr w:leftFromText="180" w:rightFromText="180" w:vertAnchor="text" w:tblpXSpec="center" w:tblpY="1"/>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57" w:type="dxa"/>
          <w:bottom w:w="57" w:type="dxa"/>
          <w:right w:w="57" w:type="dxa"/>
        </w:tblCellMar>
      </w:tblPr>
      <w:tblGrid>
        <w:gridCol w:w="758"/>
        <w:gridCol w:w="786"/>
        <w:gridCol w:w="781"/>
        <w:gridCol w:w="2499"/>
        <w:gridCol w:w="708"/>
        <w:gridCol w:w="33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trPr>
        <w:tc>
          <w:tcPr>
            <w:tcW w:w="2325" w:type="dxa"/>
            <w:gridSpan w:val="3"/>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绩效指标名称</w:t>
            </w:r>
          </w:p>
        </w:tc>
        <w:tc>
          <w:tcPr>
            <w:tcW w:w="2499" w:type="dxa"/>
            <w:vMerge w:val="restart"/>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指标值</w:t>
            </w:r>
          </w:p>
        </w:tc>
        <w:tc>
          <w:tcPr>
            <w:tcW w:w="708" w:type="dxa"/>
            <w:vMerge w:val="restart"/>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指标实现情况</w:t>
            </w:r>
          </w:p>
        </w:tc>
        <w:tc>
          <w:tcPr>
            <w:tcW w:w="3313" w:type="dxa"/>
            <w:vMerge w:val="restart"/>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完成情况说明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blHeader/>
        </w:trPr>
        <w:tc>
          <w:tcPr>
            <w:tcW w:w="758"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一级指标</w:t>
            </w:r>
          </w:p>
        </w:tc>
        <w:tc>
          <w:tcPr>
            <w:tcW w:w="786"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二级指标</w:t>
            </w:r>
          </w:p>
        </w:tc>
        <w:tc>
          <w:tcPr>
            <w:tcW w:w="781" w:type="dxa"/>
            <w:tcBorders>
              <w:top w:val="single" w:color="auto" w:sz="4" w:space="0"/>
            </w:tcBorders>
            <w:vAlign w:val="center"/>
          </w:tcPr>
          <w:p>
            <w:pPr>
              <w:snapToGrid w:val="0"/>
              <w:jc w:val="center"/>
              <w:rPr>
                <w:rFonts w:hAnsi="仿宋" w:cs="宋体"/>
                <w:b/>
                <w:bCs/>
                <w:spacing w:val="6"/>
                <w:sz w:val="21"/>
              </w:rPr>
            </w:pPr>
            <w:r>
              <w:rPr>
                <w:rFonts w:hint="eastAsia" w:hAnsi="仿宋" w:cs="宋体"/>
                <w:b/>
                <w:bCs/>
                <w:spacing w:val="6"/>
                <w:sz w:val="21"/>
              </w:rPr>
              <w:t>三级指标</w:t>
            </w:r>
          </w:p>
        </w:tc>
        <w:tc>
          <w:tcPr>
            <w:tcW w:w="2499" w:type="dxa"/>
            <w:vMerge w:val="continue"/>
            <w:vAlign w:val="center"/>
          </w:tcPr>
          <w:p>
            <w:pPr>
              <w:snapToGrid w:val="0"/>
              <w:jc w:val="center"/>
              <w:rPr>
                <w:rFonts w:hAnsi="仿宋" w:cs="宋体"/>
                <w:b/>
                <w:bCs/>
                <w:spacing w:val="6"/>
                <w:sz w:val="21"/>
              </w:rPr>
            </w:pPr>
          </w:p>
        </w:tc>
        <w:tc>
          <w:tcPr>
            <w:tcW w:w="708" w:type="dxa"/>
            <w:vMerge w:val="continue"/>
            <w:vAlign w:val="center"/>
          </w:tcPr>
          <w:p>
            <w:pPr>
              <w:snapToGrid w:val="0"/>
              <w:jc w:val="center"/>
              <w:rPr>
                <w:rFonts w:hAnsi="仿宋" w:cs="宋体"/>
                <w:b/>
                <w:bCs/>
                <w:spacing w:val="6"/>
                <w:sz w:val="21"/>
              </w:rPr>
            </w:pPr>
          </w:p>
        </w:tc>
        <w:tc>
          <w:tcPr>
            <w:tcW w:w="3313" w:type="dxa"/>
            <w:vMerge w:val="continue"/>
            <w:vAlign w:val="center"/>
          </w:tcPr>
          <w:p>
            <w:pPr>
              <w:snapToGrid w:val="0"/>
              <w:jc w:val="center"/>
              <w:rPr>
                <w:rFonts w:hAnsi="仿宋" w:cs="宋体"/>
                <w:b/>
                <w:bCs/>
                <w:spacing w:val="6"/>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资金使用率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未完成</w:t>
            </w:r>
          </w:p>
        </w:tc>
        <w:tc>
          <w:tcPr>
            <w:tcW w:w="3313" w:type="dxa"/>
          </w:tcPr>
          <w:p>
            <w:pPr>
              <w:snapToGrid w:val="0"/>
              <w:rPr>
                <w:rFonts w:hAnsi="仿宋" w:cs="宋体"/>
                <w:bCs/>
                <w:spacing w:val="6"/>
                <w:sz w:val="21"/>
              </w:rPr>
            </w:pPr>
            <w:r>
              <w:rPr>
                <w:rFonts w:hint="eastAsia" w:hAnsi="仿宋" w:cs="宋体"/>
                <w:bCs/>
                <w:spacing w:val="6"/>
                <w:sz w:val="21"/>
              </w:rPr>
              <w:t>项目实际到位资金2526万元（含高新区配套资金5</w:t>
            </w:r>
            <w:r>
              <w:rPr>
                <w:rFonts w:hAnsi="仿宋" w:cs="宋体"/>
                <w:bCs/>
                <w:spacing w:val="6"/>
                <w:sz w:val="21"/>
              </w:rPr>
              <w:t>26</w:t>
            </w:r>
            <w:r>
              <w:rPr>
                <w:rFonts w:hint="eastAsia" w:hAnsi="仿宋" w:cs="宋体"/>
                <w:bCs/>
                <w:spacing w:val="6"/>
                <w:sz w:val="21"/>
              </w:rPr>
              <w:t>万元），实际使用资金2040万元，资金使用率为80.76%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绿地改造面积完成率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日仅三个标段完成初验，四标段暂未施工完成。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乔木种植完成率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日仅三个标段完成初验，四标段暂未施工完成。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灌木种植完成率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日仅三个标段完成初验，四标段暂未施工完成。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地被及花卉种植完成率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日仅三个标段完成初验，四标段暂未施工完成。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数量指标</w:t>
            </w:r>
          </w:p>
        </w:tc>
        <w:tc>
          <w:tcPr>
            <w:tcW w:w="781" w:type="dxa"/>
            <w:vAlign w:val="center"/>
          </w:tcPr>
          <w:p>
            <w:pPr>
              <w:snapToGrid w:val="0"/>
              <w:rPr>
                <w:rFonts w:hAnsi="仿宋" w:cs="宋体"/>
                <w:bCs/>
                <w:spacing w:val="6"/>
                <w:sz w:val="21"/>
              </w:rPr>
            </w:pPr>
            <w:r>
              <w:rPr>
                <w:rFonts w:hint="eastAsia" w:hAnsi="仿宋" w:cs="宋体"/>
                <w:bCs/>
                <w:spacing w:val="6"/>
                <w:sz w:val="21"/>
              </w:rPr>
              <w:t>道路花容器设置完成率</w:t>
            </w:r>
          </w:p>
        </w:tc>
        <w:tc>
          <w:tcPr>
            <w:tcW w:w="2499" w:type="dxa"/>
          </w:tcPr>
          <w:p>
            <w:pPr>
              <w:snapToGrid w:val="0"/>
              <w:jc w:val="center"/>
              <w:rPr>
                <w:rFonts w:hAnsi="仿宋" w:cs="宋体"/>
                <w:bCs/>
                <w:spacing w:val="6"/>
                <w:sz w:val="21"/>
              </w:rPr>
            </w:pPr>
            <w:r>
              <w:rPr>
                <w:rFonts w:hAnsi="仿宋" w:cs="宋体"/>
                <w:bCs/>
                <w:spacing w:val="6"/>
                <w:sz w:val="21"/>
              </w:rPr>
              <w:t>100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日仅三个标段完成初验，四标段暂未施工完成。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质量指标</w:t>
            </w:r>
          </w:p>
        </w:tc>
        <w:tc>
          <w:tcPr>
            <w:tcW w:w="781" w:type="dxa"/>
            <w:vAlign w:val="center"/>
          </w:tcPr>
          <w:p>
            <w:pPr>
              <w:snapToGrid w:val="0"/>
              <w:rPr>
                <w:rFonts w:hAnsi="仿宋" w:cs="宋体"/>
                <w:bCs/>
                <w:spacing w:val="6"/>
                <w:sz w:val="21"/>
              </w:rPr>
            </w:pPr>
            <w:r>
              <w:rPr>
                <w:rFonts w:hint="eastAsia" w:hAnsi="仿宋" w:cs="宋体"/>
                <w:bCs/>
                <w:spacing w:val="6"/>
                <w:sz w:val="21"/>
              </w:rPr>
              <w:t>项目验收合格率</w:t>
            </w:r>
          </w:p>
        </w:tc>
        <w:tc>
          <w:tcPr>
            <w:tcW w:w="2499" w:type="dxa"/>
          </w:tcPr>
          <w:p>
            <w:pPr>
              <w:snapToGrid w:val="0"/>
              <w:jc w:val="center"/>
              <w:rPr>
                <w:rFonts w:hAnsi="仿宋" w:cs="宋体"/>
                <w:bCs/>
                <w:spacing w:val="6"/>
                <w:sz w:val="21"/>
              </w:rPr>
            </w:pPr>
            <w:r>
              <w:rPr>
                <w:rFonts w:hint="eastAsia" w:hAnsi="仿宋" w:cs="宋体"/>
                <w:bCs/>
                <w:spacing w:val="6"/>
                <w:sz w:val="21"/>
              </w:rPr>
              <w:t>1</w:t>
            </w:r>
            <w:r>
              <w:rPr>
                <w:rFonts w:hAnsi="仿宋" w:cs="宋体"/>
                <w:bCs/>
                <w:spacing w:val="6"/>
                <w:sz w:val="21"/>
              </w:rPr>
              <w:t>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完成</w:t>
            </w:r>
          </w:p>
        </w:tc>
        <w:tc>
          <w:tcPr>
            <w:tcW w:w="3313" w:type="dxa"/>
          </w:tcPr>
          <w:p>
            <w:pPr>
              <w:snapToGrid w:val="0"/>
              <w:rPr>
                <w:rFonts w:hAnsi="仿宋" w:cs="宋体"/>
                <w:bCs/>
                <w:spacing w:val="6"/>
                <w:sz w:val="21"/>
              </w:rPr>
            </w:pPr>
            <w:r>
              <w:rPr>
                <w:rFonts w:hint="eastAsia" w:hAnsi="仿宋" w:cs="宋体"/>
                <w:bCs/>
                <w:spacing w:val="6"/>
                <w:sz w:val="21"/>
              </w:rPr>
              <w:t>项目总的包含四个标段，截止2019年7月3</w:t>
            </w:r>
            <w:r>
              <w:rPr>
                <w:rFonts w:hAnsi="仿宋" w:cs="宋体"/>
                <w:bCs/>
                <w:spacing w:val="6"/>
                <w:sz w:val="21"/>
              </w:rPr>
              <w:t>1</w:t>
            </w:r>
            <w:r>
              <w:rPr>
                <w:rFonts w:hint="eastAsia" w:hAnsi="仿宋" w:cs="宋体"/>
                <w:bCs/>
                <w:spacing w:val="6"/>
                <w:sz w:val="21"/>
              </w:rPr>
              <w:t>日仅三个标段完成初验并全部验收合格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时效指标</w:t>
            </w:r>
          </w:p>
        </w:tc>
        <w:tc>
          <w:tcPr>
            <w:tcW w:w="781" w:type="dxa"/>
            <w:vAlign w:val="center"/>
          </w:tcPr>
          <w:p>
            <w:pPr>
              <w:snapToGrid w:val="0"/>
              <w:rPr>
                <w:rFonts w:hAnsi="仿宋" w:cs="宋体"/>
                <w:bCs/>
                <w:spacing w:val="6"/>
                <w:sz w:val="21"/>
              </w:rPr>
            </w:pPr>
            <w:r>
              <w:rPr>
                <w:rFonts w:hint="eastAsia" w:hAnsi="仿宋" w:cs="宋体"/>
                <w:bCs/>
                <w:spacing w:val="6"/>
                <w:sz w:val="21"/>
              </w:rPr>
              <w:t>项目完成及时率</w:t>
            </w:r>
          </w:p>
        </w:tc>
        <w:tc>
          <w:tcPr>
            <w:tcW w:w="2499" w:type="dxa"/>
          </w:tcPr>
          <w:p>
            <w:pPr>
              <w:snapToGrid w:val="0"/>
              <w:jc w:val="center"/>
              <w:rPr>
                <w:rFonts w:hAnsi="仿宋" w:cs="宋体"/>
                <w:bCs/>
                <w:spacing w:val="6"/>
                <w:sz w:val="21"/>
              </w:rPr>
            </w:pPr>
            <w:r>
              <w:rPr>
                <w:rFonts w:hint="eastAsia" w:hAnsi="仿宋" w:cs="宋体"/>
                <w:bCs/>
                <w:spacing w:val="6"/>
                <w:sz w:val="21"/>
              </w:rPr>
              <w:t>1</w:t>
            </w:r>
            <w:r>
              <w:rPr>
                <w:rFonts w:hAnsi="仿宋" w:cs="宋体"/>
                <w:bCs/>
                <w:spacing w:val="6"/>
                <w:sz w:val="21"/>
              </w:rPr>
              <w:t>00</w:t>
            </w:r>
            <w:r>
              <w:rPr>
                <w:rFonts w:hint="eastAsia" w:hAnsi="仿宋" w:cs="宋体"/>
                <w:bCs/>
                <w:spacing w:val="6"/>
                <w:sz w:val="21"/>
              </w:rPr>
              <w:t>%</w:t>
            </w:r>
          </w:p>
        </w:tc>
        <w:tc>
          <w:tcPr>
            <w:tcW w:w="708" w:type="dxa"/>
          </w:tcPr>
          <w:p>
            <w:pPr>
              <w:snapToGrid w:val="0"/>
              <w:jc w:val="center"/>
              <w:rPr>
                <w:rFonts w:hAnsi="仿宋" w:cs="宋体"/>
                <w:bCs/>
                <w:spacing w:val="6"/>
                <w:sz w:val="21"/>
              </w:rPr>
            </w:pPr>
            <w:r>
              <w:rPr>
                <w:rFonts w:hint="eastAsia" w:hAnsi="仿宋" w:cs="宋体"/>
                <w:bCs/>
                <w:spacing w:val="6"/>
                <w:sz w:val="21"/>
              </w:rPr>
              <w:t>未完成</w:t>
            </w:r>
          </w:p>
        </w:tc>
        <w:tc>
          <w:tcPr>
            <w:tcW w:w="3313" w:type="dxa"/>
          </w:tcPr>
          <w:p>
            <w:pPr>
              <w:snapToGrid w:val="0"/>
              <w:rPr>
                <w:rFonts w:hAnsi="仿宋" w:cs="宋体"/>
                <w:bCs/>
                <w:spacing w:val="6"/>
                <w:sz w:val="21"/>
              </w:rPr>
            </w:pPr>
            <w:r>
              <w:rPr>
                <w:rFonts w:hint="eastAsia" w:hAnsi="仿宋" w:cs="宋体"/>
                <w:bCs/>
                <w:spacing w:val="6"/>
                <w:sz w:val="21"/>
              </w:rPr>
              <w:t>按照&lt;中共玉溪市红塔区委办公室 玉溪市红塔区人民政府办公室关于印发《玉溪市中心城区“花城”景观建设实施》的通知&gt;（玉红办通〔2017〕101号 ）文要求：市发改委审批立项后，35日内完成确定施工、监理和造价单位，50日内完成工程建设任务。本项目总的包含四个标段，均未在规定时间内实施完成。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Merge w:val="restart"/>
            <w:vAlign w:val="center"/>
          </w:tcPr>
          <w:p>
            <w:pPr>
              <w:snapToGrid w:val="0"/>
              <w:jc w:val="center"/>
              <w:rPr>
                <w:rFonts w:hAnsi="仿宋" w:cs="宋体"/>
                <w:bCs/>
                <w:spacing w:val="6"/>
                <w:sz w:val="21"/>
              </w:rPr>
            </w:pPr>
            <w:r>
              <w:rPr>
                <w:rFonts w:hint="eastAsia" w:hAnsi="仿宋" w:cs="宋体"/>
                <w:bCs/>
                <w:spacing w:val="6"/>
                <w:sz w:val="21"/>
              </w:rPr>
              <w:t>成本指标</w:t>
            </w:r>
          </w:p>
        </w:tc>
        <w:tc>
          <w:tcPr>
            <w:tcW w:w="781" w:type="dxa"/>
            <w:vAlign w:val="center"/>
          </w:tcPr>
          <w:p>
            <w:pPr>
              <w:snapToGrid w:val="0"/>
              <w:rPr>
                <w:rFonts w:hAnsi="仿宋" w:cs="宋体"/>
                <w:bCs/>
                <w:spacing w:val="6"/>
                <w:sz w:val="21"/>
              </w:rPr>
            </w:pPr>
            <w:r>
              <w:rPr>
                <w:rFonts w:hint="eastAsia" w:hAnsi="仿宋" w:cs="宋体"/>
                <w:bCs/>
                <w:spacing w:val="6"/>
                <w:sz w:val="21"/>
              </w:rPr>
              <w:t>苗木成本合理性</w:t>
            </w:r>
          </w:p>
        </w:tc>
        <w:tc>
          <w:tcPr>
            <w:tcW w:w="2499" w:type="dxa"/>
          </w:tcPr>
          <w:p>
            <w:pPr>
              <w:snapToGrid w:val="0"/>
              <w:jc w:val="left"/>
              <w:rPr>
                <w:rFonts w:hAnsi="仿宋" w:cs="宋体"/>
                <w:bCs/>
                <w:spacing w:val="6"/>
                <w:sz w:val="21"/>
              </w:rPr>
            </w:pPr>
            <w:r>
              <w:rPr>
                <w:rFonts w:hint="eastAsia" w:hAnsi="仿宋" w:cs="宋体"/>
                <w:bCs/>
                <w:spacing w:val="6"/>
                <w:sz w:val="21"/>
              </w:rPr>
              <w:t>苗木选用经过价格对比</w:t>
            </w:r>
          </w:p>
          <w:p>
            <w:pPr>
              <w:snapToGrid w:val="0"/>
              <w:jc w:val="left"/>
              <w:rPr>
                <w:rFonts w:hAnsi="仿宋" w:cs="宋体"/>
                <w:bCs/>
                <w:spacing w:val="6"/>
                <w:sz w:val="21"/>
              </w:rPr>
            </w:pPr>
            <w:r>
              <w:rPr>
                <w:rFonts w:hint="eastAsia" w:hAnsi="仿宋" w:cs="宋体"/>
                <w:bCs/>
                <w:spacing w:val="6"/>
                <w:sz w:val="21"/>
              </w:rPr>
              <w:t>，是否符合市场价格</w:t>
            </w:r>
          </w:p>
        </w:tc>
        <w:tc>
          <w:tcPr>
            <w:tcW w:w="708" w:type="dxa"/>
          </w:tcPr>
          <w:p>
            <w:pPr>
              <w:snapToGrid w:val="0"/>
              <w:jc w:val="center"/>
              <w:rPr>
                <w:rFonts w:hAnsi="仿宋" w:cs="宋体"/>
                <w:bCs/>
                <w:spacing w:val="6"/>
                <w:sz w:val="21"/>
              </w:rPr>
            </w:pPr>
            <w:r>
              <w:rPr>
                <w:rFonts w:hint="eastAsia" w:hAnsi="仿宋" w:cs="宋体"/>
                <w:bCs/>
                <w:spacing w:val="6"/>
                <w:sz w:val="21"/>
              </w:rPr>
              <w:t>完成</w:t>
            </w:r>
          </w:p>
        </w:tc>
        <w:tc>
          <w:tcPr>
            <w:tcW w:w="3313" w:type="dxa"/>
          </w:tcPr>
          <w:p>
            <w:pPr>
              <w:snapToGrid w:val="0"/>
              <w:rPr>
                <w:rFonts w:hAnsi="仿宋" w:cs="宋体"/>
                <w:bCs/>
                <w:spacing w:val="6"/>
                <w:sz w:val="21"/>
              </w:rPr>
            </w:pPr>
            <w:r>
              <w:rPr>
                <w:rFonts w:hint="eastAsia" w:hAnsi="仿宋" w:cs="宋体"/>
                <w:bCs/>
                <w:spacing w:val="6"/>
                <w:sz w:val="21"/>
              </w:rPr>
              <w:t>苗木价格经建设、施工、监理、造价、定额站五方认价。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rPr>
          <w:trHeight w:val="951" w:hRule="atLeast"/>
        </w:trPr>
        <w:tc>
          <w:tcPr>
            <w:tcW w:w="758" w:type="dxa"/>
            <w:vAlign w:val="center"/>
          </w:tcPr>
          <w:p>
            <w:pPr>
              <w:snapToGrid w:val="0"/>
              <w:jc w:val="center"/>
              <w:rPr>
                <w:rFonts w:hAnsi="仿宋" w:cs="宋体"/>
                <w:bCs/>
                <w:spacing w:val="6"/>
                <w:sz w:val="21"/>
              </w:rPr>
            </w:pPr>
            <w:r>
              <w:rPr>
                <w:rFonts w:hint="eastAsia" w:hAnsi="仿宋" w:cs="宋体"/>
                <w:bCs/>
                <w:spacing w:val="6"/>
                <w:sz w:val="21"/>
              </w:rPr>
              <w:t>产出指标</w:t>
            </w:r>
          </w:p>
        </w:tc>
        <w:tc>
          <w:tcPr>
            <w:tcW w:w="786" w:type="dxa"/>
            <w:vMerge w:val="continue"/>
            <w:vAlign w:val="center"/>
          </w:tcPr>
          <w:p>
            <w:pPr>
              <w:snapToGrid w:val="0"/>
              <w:jc w:val="center"/>
              <w:rPr>
                <w:rFonts w:hAnsi="仿宋" w:cs="宋体"/>
                <w:bCs/>
                <w:spacing w:val="6"/>
                <w:sz w:val="21"/>
              </w:rPr>
            </w:pPr>
          </w:p>
        </w:tc>
        <w:tc>
          <w:tcPr>
            <w:tcW w:w="781" w:type="dxa"/>
            <w:vAlign w:val="center"/>
          </w:tcPr>
          <w:p>
            <w:pPr>
              <w:snapToGrid w:val="0"/>
              <w:rPr>
                <w:rFonts w:hAnsi="仿宋" w:cs="宋体"/>
                <w:bCs/>
                <w:spacing w:val="6"/>
                <w:sz w:val="21"/>
              </w:rPr>
            </w:pPr>
            <w:r>
              <w:rPr>
                <w:rFonts w:hint="eastAsia" w:hAnsi="仿宋" w:cs="宋体"/>
                <w:bCs/>
                <w:spacing w:val="6"/>
                <w:sz w:val="21"/>
              </w:rPr>
              <w:t>投资成本控制率</w:t>
            </w:r>
          </w:p>
        </w:tc>
        <w:tc>
          <w:tcPr>
            <w:tcW w:w="2499" w:type="dxa"/>
          </w:tcPr>
          <w:p>
            <w:pPr>
              <w:snapToGrid w:val="0"/>
              <w:jc w:val="center"/>
              <w:rPr>
                <w:rFonts w:hAnsi="仿宋" w:cs="宋体"/>
                <w:bCs/>
                <w:spacing w:val="6"/>
                <w:sz w:val="21"/>
              </w:rPr>
            </w:pPr>
            <w:r>
              <w:rPr>
                <w:rFonts w:hint="eastAsia" w:hAnsi="仿宋" w:cs="宋体"/>
                <w:bCs/>
                <w:spacing w:val="6"/>
                <w:sz w:val="21"/>
              </w:rPr>
              <w:t>投资成本控制率≤100%</w:t>
            </w:r>
          </w:p>
        </w:tc>
        <w:tc>
          <w:tcPr>
            <w:tcW w:w="708" w:type="dxa"/>
          </w:tcPr>
          <w:p>
            <w:pPr>
              <w:snapToGrid w:val="0"/>
              <w:jc w:val="center"/>
              <w:rPr>
                <w:rFonts w:hAnsi="仿宋" w:cs="宋体"/>
                <w:bCs/>
                <w:spacing w:val="6"/>
                <w:sz w:val="21"/>
              </w:rPr>
            </w:pPr>
            <w:r>
              <w:rPr>
                <w:rFonts w:hint="eastAsia" w:hAnsi="仿宋" w:cs="宋体"/>
                <w:bCs/>
                <w:spacing w:val="6"/>
                <w:sz w:val="21"/>
              </w:rPr>
              <w:t>完成</w:t>
            </w:r>
          </w:p>
        </w:tc>
        <w:tc>
          <w:tcPr>
            <w:tcW w:w="3313" w:type="dxa"/>
          </w:tcPr>
          <w:p>
            <w:pPr>
              <w:snapToGrid w:val="0"/>
              <w:rPr>
                <w:rFonts w:hAnsi="仿宋" w:cs="宋体"/>
                <w:bCs/>
                <w:spacing w:val="6"/>
                <w:sz w:val="21"/>
              </w:rPr>
            </w:pPr>
            <w:r>
              <w:rPr>
                <w:rFonts w:hint="eastAsia" w:hAnsi="仿宋" w:cs="宋体"/>
                <w:bCs/>
                <w:spacing w:val="6"/>
                <w:sz w:val="21"/>
              </w:rPr>
              <w:t>项目投资成本未超预算批复资金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效果指标</w:t>
            </w:r>
          </w:p>
        </w:tc>
        <w:tc>
          <w:tcPr>
            <w:tcW w:w="786" w:type="dxa"/>
            <w:vMerge w:val="restart"/>
            <w:vAlign w:val="center"/>
          </w:tcPr>
          <w:p>
            <w:pPr>
              <w:snapToGrid w:val="0"/>
              <w:jc w:val="center"/>
              <w:rPr>
                <w:rFonts w:hAnsi="仿宋" w:cs="宋体"/>
                <w:bCs/>
                <w:spacing w:val="6"/>
                <w:sz w:val="21"/>
              </w:rPr>
            </w:pPr>
            <w:r>
              <w:rPr>
                <w:rFonts w:hint="eastAsia" w:hAnsi="仿宋" w:cs="宋体"/>
                <w:bCs/>
                <w:spacing w:val="6"/>
                <w:sz w:val="21"/>
              </w:rPr>
              <w:t>社会效益指标</w:t>
            </w:r>
          </w:p>
        </w:tc>
        <w:tc>
          <w:tcPr>
            <w:tcW w:w="781" w:type="dxa"/>
            <w:vAlign w:val="center"/>
          </w:tcPr>
          <w:p>
            <w:pPr>
              <w:snapToGrid w:val="0"/>
              <w:rPr>
                <w:rFonts w:hAnsi="仿宋" w:cs="宋体"/>
                <w:bCs/>
                <w:spacing w:val="6"/>
                <w:sz w:val="21"/>
              </w:rPr>
            </w:pPr>
            <w:r>
              <w:rPr>
                <w:rFonts w:hint="eastAsia" w:hAnsi="仿宋" w:cs="宋体"/>
                <w:bCs/>
                <w:spacing w:val="6"/>
                <w:sz w:val="21"/>
              </w:rPr>
              <w:t>安全文明施工</w:t>
            </w:r>
          </w:p>
        </w:tc>
        <w:tc>
          <w:tcPr>
            <w:tcW w:w="2499" w:type="dxa"/>
          </w:tcPr>
          <w:p>
            <w:pPr>
              <w:snapToGrid w:val="0"/>
              <w:jc w:val="left"/>
              <w:rPr>
                <w:rFonts w:hAnsi="仿宋" w:cs="宋体"/>
                <w:bCs/>
                <w:spacing w:val="6"/>
                <w:sz w:val="21"/>
              </w:rPr>
            </w:pPr>
            <w:r>
              <w:rPr>
                <w:rFonts w:hint="eastAsia" w:hAnsi="仿宋" w:cs="宋体"/>
                <w:bCs/>
                <w:spacing w:val="6"/>
                <w:sz w:val="21"/>
              </w:rPr>
              <w:t>项目施工现场是否设置了“五牌一图”；</w:t>
            </w:r>
          </w:p>
          <w:p>
            <w:pPr>
              <w:snapToGrid w:val="0"/>
              <w:jc w:val="left"/>
              <w:rPr>
                <w:rFonts w:hAnsi="仿宋" w:cs="宋体"/>
                <w:bCs/>
                <w:spacing w:val="6"/>
                <w:sz w:val="21"/>
              </w:rPr>
            </w:pPr>
            <w:r>
              <w:rPr>
                <w:rFonts w:hint="eastAsia" w:hAnsi="仿宋" w:cs="宋体"/>
                <w:bCs/>
                <w:spacing w:val="6"/>
                <w:sz w:val="21"/>
              </w:rPr>
              <w:t>项目四周是否设置了围挡，围挡稳固、整洁、美观；</w:t>
            </w:r>
          </w:p>
          <w:p>
            <w:pPr>
              <w:snapToGrid w:val="0"/>
              <w:jc w:val="left"/>
              <w:rPr>
                <w:rFonts w:hAnsi="仿宋" w:cs="宋体"/>
                <w:bCs/>
                <w:spacing w:val="6"/>
                <w:sz w:val="21"/>
              </w:rPr>
            </w:pPr>
            <w:r>
              <w:rPr>
                <w:rFonts w:hint="eastAsia" w:hAnsi="仿宋" w:cs="宋体"/>
                <w:bCs/>
                <w:spacing w:val="6"/>
                <w:sz w:val="21"/>
              </w:rPr>
              <w:t>项目现场的建筑材料、建筑垃圾、渣土是否乱堆乱放。</w:t>
            </w:r>
          </w:p>
          <w:p>
            <w:pPr>
              <w:snapToGrid w:val="0"/>
              <w:jc w:val="left"/>
              <w:rPr>
                <w:rFonts w:hAnsi="仿宋" w:cs="宋体"/>
                <w:bCs/>
                <w:spacing w:val="6"/>
                <w:sz w:val="21"/>
              </w:rPr>
            </w:pPr>
            <w:r>
              <w:rPr>
                <w:rFonts w:hint="eastAsia" w:hAnsi="仿宋" w:cs="宋体"/>
                <w:bCs/>
                <w:spacing w:val="6"/>
                <w:sz w:val="21"/>
              </w:rPr>
              <w:t>项目实施过程是否有安全事故发生。</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部分施工现场未设置围挡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效果指标</w:t>
            </w:r>
          </w:p>
        </w:tc>
        <w:tc>
          <w:tcPr>
            <w:tcW w:w="786" w:type="dxa"/>
            <w:vMerge w:val="continue"/>
            <w:vAlign w:val="center"/>
          </w:tcPr>
          <w:p>
            <w:pPr>
              <w:snapToGrid w:val="0"/>
              <w:jc w:val="center"/>
              <w:rPr>
                <w:rFonts w:hAnsi="仿宋" w:cs="宋体"/>
                <w:bCs/>
                <w:spacing w:val="6"/>
                <w:sz w:val="21"/>
              </w:rPr>
            </w:pPr>
          </w:p>
        </w:tc>
        <w:tc>
          <w:tcPr>
            <w:tcW w:w="781" w:type="dxa"/>
            <w:vAlign w:val="center"/>
          </w:tcPr>
          <w:p>
            <w:pPr>
              <w:snapToGrid w:val="0"/>
              <w:rPr>
                <w:rFonts w:hAnsi="仿宋" w:cs="宋体"/>
                <w:bCs/>
                <w:spacing w:val="6"/>
                <w:sz w:val="21"/>
              </w:rPr>
            </w:pPr>
            <w:r>
              <w:rPr>
                <w:rFonts w:hint="eastAsia" w:hAnsi="仿宋" w:cs="宋体"/>
                <w:bCs/>
                <w:spacing w:val="6"/>
                <w:sz w:val="21"/>
              </w:rPr>
              <w:t>整体环境改善情况</w:t>
            </w:r>
          </w:p>
        </w:tc>
        <w:tc>
          <w:tcPr>
            <w:tcW w:w="2499" w:type="dxa"/>
          </w:tcPr>
          <w:p>
            <w:pPr>
              <w:snapToGrid w:val="0"/>
              <w:jc w:val="center"/>
              <w:rPr>
                <w:rFonts w:hAnsi="仿宋" w:cs="宋体"/>
                <w:bCs/>
                <w:spacing w:val="6"/>
                <w:sz w:val="21"/>
              </w:rPr>
            </w:pPr>
            <w:r>
              <w:rPr>
                <w:rFonts w:hint="eastAsia" w:hAnsi="仿宋" w:cs="宋体"/>
                <w:bCs/>
                <w:spacing w:val="6"/>
                <w:sz w:val="21"/>
              </w:rPr>
              <w:t>中心市区环境是否得到改善，实现“日日有花开、月月有特色、季季有变化”景观</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经对比前后的照片及现场实地勘察，整体环境有一定改善，但花卉及草坪部分死亡、栽种稀疏，未充分实现“日日有花开、月月有特色、季季有变化”景观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效果指标</w:t>
            </w:r>
          </w:p>
        </w:tc>
        <w:tc>
          <w:tcPr>
            <w:tcW w:w="786" w:type="dxa"/>
            <w:vMerge w:val="restart"/>
            <w:vAlign w:val="center"/>
          </w:tcPr>
          <w:p>
            <w:pPr>
              <w:snapToGrid w:val="0"/>
              <w:jc w:val="center"/>
              <w:rPr>
                <w:rFonts w:hAnsi="仿宋" w:cs="宋体"/>
                <w:bCs/>
                <w:spacing w:val="6"/>
                <w:sz w:val="21"/>
              </w:rPr>
            </w:pPr>
            <w:r>
              <w:rPr>
                <w:rFonts w:hint="eastAsia" w:hAnsi="仿宋" w:cs="宋体"/>
                <w:bCs/>
                <w:spacing w:val="6"/>
                <w:sz w:val="21"/>
              </w:rPr>
              <w:t>可持续影响指标</w:t>
            </w:r>
          </w:p>
        </w:tc>
        <w:tc>
          <w:tcPr>
            <w:tcW w:w="781" w:type="dxa"/>
            <w:vAlign w:val="center"/>
          </w:tcPr>
          <w:p>
            <w:pPr>
              <w:snapToGrid w:val="0"/>
              <w:rPr>
                <w:rFonts w:hAnsi="仿宋" w:cs="宋体"/>
                <w:bCs/>
                <w:spacing w:val="6"/>
                <w:sz w:val="21"/>
              </w:rPr>
            </w:pPr>
            <w:r>
              <w:rPr>
                <w:rFonts w:hint="eastAsia" w:hAnsi="仿宋" w:cs="宋体"/>
                <w:bCs/>
                <w:spacing w:val="6"/>
                <w:sz w:val="21"/>
              </w:rPr>
              <w:t>苗木存活率</w:t>
            </w:r>
          </w:p>
        </w:tc>
        <w:tc>
          <w:tcPr>
            <w:tcW w:w="2499" w:type="dxa"/>
          </w:tcPr>
          <w:p>
            <w:pPr>
              <w:snapToGrid w:val="0"/>
              <w:jc w:val="center"/>
              <w:rPr>
                <w:rFonts w:hAnsi="仿宋" w:cs="宋体"/>
                <w:bCs/>
                <w:spacing w:val="6"/>
                <w:sz w:val="21"/>
              </w:rPr>
            </w:pPr>
            <w:r>
              <w:rPr>
                <w:rFonts w:hint="eastAsia" w:hAnsi="仿宋" w:cs="宋体"/>
                <w:bCs/>
                <w:spacing w:val="6"/>
                <w:sz w:val="21"/>
              </w:rPr>
              <w:t>苗木存活率≥95%</w:t>
            </w:r>
          </w:p>
        </w:tc>
        <w:tc>
          <w:tcPr>
            <w:tcW w:w="708" w:type="dxa"/>
          </w:tcPr>
          <w:p>
            <w:pPr>
              <w:snapToGrid w:val="0"/>
              <w:jc w:val="center"/>
              <w:rPr>
                <w:rFonts w:hAnsi="仿宋" w:cs="宋体"/>
                <w:bCs/>
                <w:spacing w:val="6"/>
                <w:sz w:val="21"/>
              </w:rPr>
            </w:pPr>
            <w:r>
              <w:rPr>
                <w:rFonts w:hint="eastAsia" w:hAnsi="仿宋" w:cs="宋体"/>
                <w:bCs/>
                <w:spacing w:val="6"/>
                <w:sz w:val="21"/>
              </w:rPr>
              <w:t>部分完成</w:t>
            </w:r>
          </w:p>
        </w:tc>
        <w:tc>
          <w:tcPr>
            <w:tcW w:w="3313" w:type="dxa"/>
          </w:tcPr>
          <w:p>
            <w:pPr>
              <w:snapToGrid w:val="0"/>
              <w:rPr>
                <w:rFonts w:hAnsi="仿宋" w:cs="宋体"/>
                <w:bCs/>
                <w:spacing w:val="6"/>
                <w:sz w:val="21"/>
              </w:rPr>
            </w:pPr>
            <w:r>
              <w:rPr>
                <w:rFonts w:hint="eastAsia" w:hAnsi="仿宋" w:cs="宋体"/>
                <w:bCs/>
                <w:spacing w:val="6"/>
                <w:sz w:val="21"/>
              </w:rPr>
              <w:t>根据现场踏勘及工作记录存在部分死亡苗木未及时更换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效果指标</w:t>
            </w:r>
          </w:p>
        </w:tc>
        <w:tc>
          <w:tcPr>
            <w:tcW w:w="786" w:type="dxa"/>
            <w:vMerge w:val="continue"/>
            <w:vAlign w:val="center"/>
          </w:tcPr>
          <w:p>
            <w:pPr>
              <w:snapToGrid w:val="0"/>
              <w:jc w:val="center"/>
              <w:rPr>
                <w:rFonts w:hAnsi="仿宋" w:cs="宋体"/>
                <w:bCs/>
                <w:spacing w:val="6"/>
                <w:sz w:val="21"/>
              </w:rPr>
            </w:pPr>
          </w:p>
        </w:tc>
        <w:tc>
          <w:tcPr>
            <w:tcW w:w="781" w:type="dxa"/>
            <w:vAlign w:val="center"/>
          </w:tcPr>
          <w:p>
            <w:pPr>
              <w:snapToGrid w:val="0"/>
              <w:rPr>
                <w:rFonts w:hAnsi="仿宋" w:cs="宋体"/>
                <w:bCs/>
                <w:spacing w:val="6"/>
                <w:sz w:val="21"/>
              </w:rPr>
            </w:pPr>
            <w:r>
              <w:rPr>
                <w:rFonts w:hint="eastAsia" w:hAnsi="仿宋" w:cs="宋体"/>
                <w:bCs/>
                <w:spacing w:val="6"/>
                <w:sz w:val="21"/>
              </w:rPr>
              <w:t>绿化后续管护</w:t>
            </w:r>
          </w:p>
        </w:tc>
        <w:tc>
          <w:tcPr>
            <w:tcW w:w="2499" w:type="dxa"/>
          </w:tcPr>
          <w:p>
            <w:pPr>
              <w:snapToGrid w:val="0"/>
              <w:jc w:val="left"/>
              <w:rPr>
                <w:rFonts w:hAnsi="仿宋" w:cs="宋体"/>
                <w:bCs/>
                <w:spacing w:val="6"/>
                <w:sz w:val="21"/>
              </w:rPr>
            </w:pPr>
            <w:r>
              <w:rPr>
                <w:rFonts w:hint="eastAsia" w:hAnsi="仿宋" w:cs="宋体"/>
                <w:bCs/>
                <w:spacing w:val="6"/>
                <w:sz w:val="21"/>
              </w:rPr>
              <w:t>项目制定相应的管护实施办法；</w:t>
            </w:r>
          </w:p>
          <w:p>
            <w:pPr>
              <w:snapToGrid w:val="0"/>
              <w:jc w:val="left"/>
              <w:rPr>
                <w:rFonts w:hAnsi="仿宋" w:cs="宋体"/>
                <w:bCs/>
                <w:spacing w:val="6"/>
                <w:sz w:val="21"/>
              </w:rPr>
            </w:pPr>
            <w:r>
              <w:rPr>
                <w:rFonts w:hint="eastAsia" w:hAnsi="仿宋" w:cs="宋体"/>
                <w:bCs/>
                <w:spacing w:val="6"/>
                <w:sz w:val="21"/>
              </w:rPr>
              <w:t>定期对项目实施内容进行管护。</w:t>
            </w:r>
          </w:p>
        </w:tc>
        <w:tc>
          <w:tcPr>
            <w:tcW w:w="708" w:type="dxa"/>
          </w:tcPr>
          <w:p>
            <w:pPr>
              <w:snapToGrid w:val="0"/>
              <w:jc w:val="center"/>
              <w:rPr>
                <w:rFonts w:hAnsi="仿宋" w:cs="宋体"/>
                <w:bCs/>
                <w:spacing w:val="6"/>
                <w:sz w:val="21"/>
              </w:rPr>
            </w:pPr>
            <w:r>
              <w:rPr>
                <w:rFonts w:hint="eastAsia" w:hAnsi="仿宋" w:cs="宋体"/>
                <w:bCs/>
                <w:spacing w:val="6"/>
                <w:sz w:val="21"/>
              </w:rPr>
              <w:t>完成</w:t>
            </w:r>
          </w:p>
        </w:tc>
        <w:tc>
          <w:tcPr>
            <w:tcW w:w="3313" w:type="dxa"/>
          </w:tcPr>
          <w:p>
            <w:pPr>
              <w:snapToGrid w:val="0"/>
              <w:rPr>
                <w:rFonts w:hAnsi="仿宋" w:cs="宋体"/>
                <w:bCs/>
                <w:spacing w:val="6"/>
                <w:sz w:val="21"/>
              </w:rPr>
            </w:pPr>
            <w:r>
              <w:rPr>
                <w:rFonts w:hint="eastAsia" w:hAnsi="仿宋" w:cs="宋体"/>
                <w:bCs/>
                <w:spacing w:val="6"/>
                <w:sz w:val="21"/>
              </w:rPr>
              <w:t>制定了相应的管护实施办法，根据工作记录，定期对绿化工程进行管护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57" w:type="dxa"/>
            <w:bottom w:w="57" w:type="dxa"/>
            <w:right w:w="57" w:type="dxa"/>
          </w:tblCellMar>
        </w:tblPrEx>
        <w:tc>
          <w:tcPr>
            <w:tcW w:w="758" w:type="dxa"/>
            <w:vAlign w:val="center"/>
          </w:tcPr>
          <w:p>
            <w:pPr>
              <w:snapToGrid w:val="0"/>
              <w:jc w:val="center"/>
              <w:rPr>
                <w:rFonts w:hAnsi="仿宋" w:cs="宋体"/>
                <w:bCs/>
                <w:spacing w:val="6"/>
                <w:sz w:val="21"/>
              </w:rPr>
            </w:pPr>
            <w:r>
              <w:rPr>
                <w:rFonts w:hint="eastAsia" w:hAnsi="仿宋" w:cs="宋体"/>
                <w:bCs/>
                <w:spacing w:val="6"/>
                <w:sz w:val="21"/>
              </w:rPr>
              <w:t>效果指标</w:t>
            </w:r>
          </w:p>
        </w:tc>
        <w:tc>
          <w:tcPr>
            <w:tcW w:w="786" w:type="dxa"/>
            <w:vAlign w:val="center"/>
          </w:tcPr>
          <w:p>
            <w:pPr>
              <w:snapToGrid w:val="0"/>
              <w:jc w:val="center"/>
              <w:rPr>
                <w:rFonts w:hAnsi="仿宋" w:cs="宋体"/>
                <w:bCs/>
                <w:spacing w:val="6"/>
                <w:sz w:val="21"/>
              </w:rPr>
            </w:pPr>
            <w:r>
              <w:rPr>
                <w:rFonts w:hint="eastAsia" w:hAnsi="仿宋" w:cs="宋体"/>
                <w:bCs/>
                <w:spacing w:val="6"/>
                <w:sz w:val="21"/>
              </w:rPr>
              <w:t>满意度指标</w:t>
            </w:r>
          </w:p>
        </w:tc>
        <w:tc>
          <w:tcPr>
            <w:tcW w:w="781" w:type="dxa"/>
            <w:vAlign w:val="center"/>
          </w:tcPr>
          <w:p>
            <w:pPr>
              <w:snapToGrid w:val="0"/>
              <w:rPr>
                <w:rFonts w:hAnsi="仿宋" w:cs="宋体"/>
                <w:bCs/>
                <w:spacing w:val="6"/>
                <w:sz w:val="21"/>
              </w:rPr>
            </w:pPr>
            <w:r>
              <w:rPr>
                <w:rFonts w:hint="eastAsia" w:hAnsi="仿宋" w:cs="宋体"/>
                <w:bCs/>
                <w:spacing w:val="6"/>
                <w:sz w:val="21"/>
              </w:rPr>
              <w:t>社会群众满意度</w:t>
            </w:r>
          </w:p>
        </w:tc>
        <w:tc>
          <w:tcPr>
            <w:tcW w:w="2499" w:type="dxa"/>
          </w:tcPr>
          <w:p>
            <w:pPr>
              <w:snapToGrid w:val="0"/>
              <w:jc w:val="left"/>
              <w:rPr>
                <w:rFonts w:hAnsi="仿宋" w:cs="宋体"/>
                <w:bCs/>
                <w:spacing w:val="6"/>
                <w:sz w:val="21"/>
              </w:rPr>
            </w:pPr>
            <w:r>
              <w:rPr>
                <w:rFonts w:hint="eastAsia" w:hAnsi="仿宋" w:cs="宋体"/>
                <w:bCs/>
                <w:spacing w:val="6"/>
                <w:sz w:val="21"/>
              </w:rPr>
              <w:t>满意度达到90%</w:t>
            </w:r>
          </w:p>
        </w:tc>
        <w:tc>
          <w:tcPr>
            <w:tcW w:w="708" w:type="dxa"/>
          </w:tcPr>
          <w:p>
            <w:pPr>
              <w:snapToGrid w:val="0"/>
              <w:jc w:val="left"/>
              <w:rPr>
                <w:rFonts w:hAnsi="仿宋" w:cs="宋体"/>
                <w:bCs/>
                <w:spacing w:val="6"/>
                <w:sz w:val="21"/>
              </w:rPr>
            </w:pPr>
            <w:r>
              <w:rPr>
                <w:rFonts w:hint="eastAsia" w:hAnsi="仿宋" w:cs="宋体"/>
                <w:bCs/>
                <w:spacing w:val="6"/>
                <w:sz w:val="21"/>
              </w:rPr>
              <w:t>未完成</w:t>
            </w:r>
          </w:p>
        </w:tc>
        <w:tc>
          <w:tcPr>
            <w:tcW w:w="3313" w:type="dxa"/>
          </w:tcPr>
          <w:p>
            <w:pPr>
              <w:snapToGrid w:val="0"/>
              <w:jc w:val="left"/>
              <w:rPr>
                <w:rFonts w:hAnsi="仿宋" w:cs="宋体"/>
                <w:bCs/>
                <w:spacing w:val="6"/>
                <w:sz w:val="21"/>
              </w:rPr>
            </w:pPr>
            <w:r>
              <w:rPr>
                <w:rFonts w:hint="eastAsia" w:hAnsi="仿宋" w:cs="宋体"/>
                <w:bCs/>
                <w:spacing w:val="6"/>
                <w:sz w:val="21"/>
              </w:rPr>
              <w:t>根据实地评价，满意度评价为76.00%</w:t>
            </w:r>
          </w:p>
        </w:tc>
      </w:tr>
      <w:bookmarkEnd w:id="113"/>
    </w:tbl>
    <w:p>
      <w:pPr>
        <w:spacing w:line="579" w:lineRule="exact"/>
        <w:ind w:firstLine="630" w:firstLineChars="200"/>
        <w:outlineLvl w:val="1"/>
        <w:rPr>
          <w:rFonts w:ascii="楷体" w:hAnsi="楷体" w:eastAsia="楷体"/>
          <w:szCs w:val="30"/>
        </w:rPr>
      </w:pPr>
      <w:bookmarkStart w:id="114" w:name="_Toc20818_WPSOffice_Level2"/>
      <w:bookmarkStart w:id="115" w:name="_Toc32432_WPSOffice_Level2"/>
      <w:bookmarkStart w:id="116" w:name="_Toc18250885"/>
      <w:r>
        <w:rPr>
          <w:rFonts w:hint="eastAsia" w:ascii="楷体" w:hAnsi="楷体" w:eastAsia="楷体"/>
          <w:szCs w:val="30"/>
        </w:rPr>
        <w:t>（三）绩效自评与再评价差异分析</w:t>
      </w:r>
      <w:bookmarkEnd w:id="114"/>
      <w:bookmarkEnd w:id="115"/>
      <w:bookmarkEnd w:id="116"/>
    </w:p>
    <w:p>
      <w:pPr>
        <w:spacing w:line="579" w:lineRule="exact"/>
        <w:ind w:firstLine="646" w:firstLineChars="200"/>
        <w:rPr>
          <w:rFonts w:hAnsi="仿宋" w:cs="宋体"/>
          <w:spacing w:val="4"/>
          <w:szCs w:val="30"/>
        </w:rPr>
      </w:pPr>
      <w:r>
        <w:rPr>
          <w:rFonts w:hAnsi="仿宋" w:cs="宋体"/>
          <w:spacing w:val="4"/>
          <w:szCs w:val="30"/>
        </w:rPr>
        <w:t>1.评价体系存在差异</w:t>
      </w:r>
    </w:p>
    <w:p>
      <w:pPr>
        <w:spacing w:line="579" w:lineRule="exact"/>
        <w:ind w:firstLine="646" w:firstLineChars="200"/>
        <w:rPr>
          <w:rFonts w:hAnsi="仿宋" w:cs="宋体"/>
          <w:spacing w:val="4"/>
          <w:szCs w:val="30"/>
        </w:rPr>
      </w:pPr>
      <w:r>
        <w:rPr>
          <w:rFonts w:hint="eastAsia" w:hAnsi="仿宋"/>
          <w:spacing w:val="4"/>
          <w:szCs w:val="30"/>
        </w:rPr>
        <w:t>区城管局2018年</w:t>
      </w:r>
      <w:r>
        <w:rPr>
          <w:rFonts w:hint="eastAsia" w:hAnsi="仿宋" w:cs="宋体"/>
          <w:spacing w:val="4"/>
          <w:szCs w:val="30"/>
        </w:rPr>
        <w:t>自评时未建立完整的评价指标体系；</w:t>
      </w:r>
      <w:r>
        <w:rPr>
          <w:rFonts w:hint="eastAsia" w:cs="仿宋"/>
        </w:rPr>
        <w:t>自评仅从已实施标段的项目管理方面进行，不满足“目标引领、结果导向”的绩效管理思想，</w:t>
      </w:r>
      <w:r>
        <w:rPr>
          <w:rFonts w:hint="eastAsia" w:hAnsi="仿宋" w:cs="宋体"/>
          <w:spacing w:val="4"/>
          <w:szCs w:val="30"/>
        </w:rPr>
        <w:t>本次绩效再评价依据</w:t>
      </w:r>
      <w:r>
        <w:rPr>
          <w:rFonts w:hint="eastAsia" w:hAnsi="仿宋"/>
          <w:szCs w:val="30"/>
        </w:rPr>
        <w:t>红塔区中心城区城市管理“十三五”规划、玉溪市中心城区“花城”景观建设实施方案</w:t>
      </w:r>
      <w:r>
        <w:rPr>
          <w:rFonts w:hint="eastAsia" w:hAnsi="仿宋" w:cs="宋体"/>
          <w:spacing w:val="4"/>
          <w:szCs w:val="30"/>
        </w:rPr>
        <w:t>等，制定了再评价指标体系，从投入、过程、产出和效果四个维度，对项目开展全面绩效再评价。</w:t>
      </w:r>
    </w:p>
    <w:p>
      <w:pPr>
        <w:spacing w:line="579" w:lineRule="exact"/>
        <w:ind w:firstLine="646" w:firstLineChars="200"/>
        <w:rPr>
          <w:rFonts w:hAnsi="仿宋"/>
          <w:spacing w:val="4"/>
          <w:szCs w:val="30"/>
        </w:rPr>
      </w:pPr>
      <w:r>
        <w:rPr>
          <w:rFonts w:hAnsi="仿宋" w:cs="宋体"/>
          <w:spacing w:val="4"/>
          <w:szCs w:val="30"/>
        </w:rPr>
        <w:t>2.</w:t>
      </w:r>
      <w:r>
        <w:rPr>
          <w:rFonts w:hint="eastAsia" w:hAnsi="仿宋"/>
          <w:spacing w:val="4"/>
          <w:szCs w:val="30"/>
        </w:rPr>
        <w:t>评价程序存在差异</w:t>
      </w:r>
    </w:p>
    <w:p>
      <w:pPr>
        <w:autoSpaceDE w:val="0"/>
        <w:autoSpaceDN w:val="0"/>
        <w:spacing w:line="579" w:lineRule="exact"/>
        <w:ind w:firstLine="654" w:firstLineChars="200"/>
        <w:rPr>
          <w:rFonts w:cs="仿宋"/>
          <w:spacing w:val="6"/>
          <w:szCs w:val="30"/>
        </w:rPr>
      </w:pPr>
      <w:r>
        <w:rPr>
          <w:rFonts w:hint="eastAsia" w:hAnsi="仿宋"/>
          <w:spacing w:val="6"/>
          <w:kern w:val="2"/>
          <w:szCs w:val="30"/>
        </w:rPr>
        <w:t>自评报告以项目建设情况报告的方式呈现，自评报告得分为满分与项目实施实际情况不相符，</w:t>
      </w:r>
      <w:r>
        <w:rPr>
          <w:rFonts w:hint="eastAsia" w:hAnsi="仿宋"/>
          <w:spacing w:val="4"/>
          <w:szCs w:val="30"/>
        </w:rPr>
        <w:t>再评价对相关数据进行了实地抽样核实与评价。</w:t>
      </w:r>
    </w:p>
    <w:p>
      <w:pPr>
        <w:autoSpaceDE w:val="0"/>
        <w:autoSpaceDN w:val="0"/>
        <w:spacing w:line="579" w:lineRule="exact"/>
        <w:ind w:firstLine="654" w:firstLineChars="200"/>
        <w:rPr>
          <w:rFonts w:cs="仿宋"/>
          <w:spacing w:val="6"/>
          <w:szCs w:val="30"/>
        </w:rPr>
      </w:pPr>
      <w:r>
        <w:rPr>
          <w:rFonts w:cs="仿宋"/>
          <w:spacing w:val="6"/>
          <w:szCs w:val="30"/>
        </w:rPr>
        <w:t>3</w:t>
      </w:r>
      <w:r>
        <w:rPr>
          <w:rFonts w:hint="eastAsia" w:cs="仿宋"/>
          <w:spacing w:val="6"/>
          <w:szCs w:val="30"/>
        </w:rPr>
        <w:t>.评价内容和标准有差异</w:t>
      </w:r>
    </w:p>
    <w:p>
      <w:pPr>
        <w:spacing w:line="579" w:lineRule="exact"/>
        <w:ind w:firstLine="630" w:firstLineChars="200"/>
        <w:rPr>
          <w:rFonts w:cs="仿宋"/>
        </w:rPr>
      </w:pPr>
      <w:r>
        <w:rPr>
          <w:rFonts w:hint="eastAsia" w:cs="仿宋"/>
        </w:rPr>
        <w:t>区城管局绩效自评仅设置了共性指标。再评价按投入指标权重占</w:t>
      </w:r>
      <w:r>
        <w:rPr>
          <w:rFonts w:cs="仿宋"/>
        </w:rPr>
        <w:t>20</w:t>
      </w:r>
      <w:r>
        <w:rPr>
          <w:rFonts w:hint="eastAsia" w:cs="仿宋"/>
        </w:rPr>
        <w:t>%，过程指标权重占</w:t>
      </w:r>
      <w:r>
        <w:rPr>
          <w:rFonts w:cs="仿宋"/>
        </w:rPr>
        <w:t>25</w:t>
      </w:r>
      <w:r>
        <w:rPr>
          <w:rFonts w:hint="eastAsia" w:cs="仿宋"/>
        </w:rPr>
        <w:t>%，产出指标权重占</w:t>
      </w:r>
      <w:r>
        <w:rPr>
          <w:rFonts w:cs="仿宋"/>
        </w:rPr>
        <w:t>30</w:t>
      </w:r>
      <w:r>
        <w:rPr>
          <w:rFonts w:hint="eastAsia" w:cs="仿宋"/>
        </w:rPr>
        <w:t>%，效果指标权重</w:t>
      </w:r>
      <w:r>
        <w:rPr>
          <w:rFonts w:cs="仿宋"/>
        </w:rPr>
        <w:t>25</w:t>
      </w:r>
      <w:r>
        <w:rPr>
          <w:rFonts w:hint="eastAsia" w:cs="仿宋"/>
        </w:rPr>
        <w:t>%。对各项指标进行了分值权重配置，考虑具体项目实现情况进行打分。</w:t>
      </w:r>
    </w:p>
    <w:p>
      <w:pPr>
        <w:spacing w:line="579" w:lineRule="exact"/>
        <w:ind w:firstLine="630" w:firstLineChars="200"/>
        <w:outlineLvl w:val="0"/>
        <w:rPr>
          <w:rFonts w:ascii="黑体" w:hAnsi="宋体" w:eastAsia="黑体" w:cs="宋体"/>
          <w:szCs w:val="30"/>
        </w:rPr>
      </w:pPr>
      <w:bookmarkStart w:id="117" w:name="_Toc8481_WPSOffice_Level1"/>
      <w:bookmarkStart w:id="118" w:name="_Toc29239_WPSOffice_Level1"/>
      <w:bookmarkStart w:id="119" w:name="_Toc18250886"/>
      <w:r>
        <w:rPr>
          <w:rFonts w:hint="eastAsia" w:ascii="黑体" w:hAnsi="宋体" w:eastAsia="黑体" w:cs="宋体"/>
          <w:szCs w:val="30"/>
        </w:rPr>
        <w:t>五、绩效再评价情况分析</w:t>
      </w:r>
      <w:bookmarkEnd w:id="117"/>
      <w:bookmarkEnd w:id="118"/>
      <w:bookmarkEnd w:id="119"/>
    </w:p>
    <w:p>
      <w:pPr>
        <w:spacing w:line="579" w:lineRule="exact"/>
        <w:ind w:firstLine="632"/>
        <w:outlineLvl w:val="1"/>
        <w:rPr>
          <w:rFonts w:ascii="楷体" w:hAnsi="楷体" w:eastAsia="楷体"/>
          <w:szCs w:val="30"/>
        </w:rPr>
      </w:pPr>
      <w:bookmarkStart w:id="120" w:name="_Toc18250887"/>
      <w:bookmarkStart w:id="121" w:name="_Toc32209_WPSOffice_Level2"/>
      <w:bookmarkStart w:id="122" w:name="_Toc23243_WPSOffice_Level2"/>
      <w:r>
        <w:rPr>
          <w:rFonts w:hint="eastAsia" w:ascii="楷体" w:hAnsi="楷体" w:eastAsia="楷体"/>
          <w:szCs w:val="30"/>
        </w:rPr>
        <w:t>（一）投入情况分析</w:t>
      </w:r>
      <w:bookmarkEnd w:id="120"/>
      <w:bookmarkEnd w:id="121"/>
      <w:bookmarkEnd w:id="122"/>
    </w:p>
    <w:p>
      <w:pPr>
        <w:spacing w:line="579" w:lineRule="exact"/>
        <w:ind w:firstLine="630" w:firstLineChars="200"/>
        <w:rPr>
          <w:rFonts w:hAnsi="仿宋"/>
          <w:szCs w:val="30"/>
        </w:rPr>
      </w:pPr>
      <w:r>
        <w:rPr>
          <w:rFonts w:hint="eastAsia" w:hAnsi="仿宋"/>
          <w:szCs w:val="30"/>
        </w:rPr>
        <w:t>此项综合评价满分为</w:t>
      </w:r>
      <w:r>
        <w:rPr>
          <w:rFonts w:hAnsi="仿宋"/>
          <w:szCs w:val="30"/>
        </w:rPr>
        <w:t>20</w:t>
      </w:r>
      <w:r>
        <w:rPr>
          <w:rFonts w:hint="eastAsia" w:hAnsi="仿宋"/>
          <w:szCs w:val="30"/>
        </w:rPr>
        <w:t>分，实际得分</w:t>
      </w:r>
      <w:r>
        <w:rPr>
          <w:rFonts w:hAnsi="仿宋"/>
          <w:szCs w:val="30"/>
        </w:rPr>
        <w:t>10.06</w:t>
      </w:r>
      <w:r>
        <w:rPr>
          <w:rFonts w:hint="eastAsia" w:hAnsi="仿宋"/>
          <w:szCs w:val="30"/>
        </w:rPr>
        <w:t>分（占该项满分值的</w:t>
      </w:r>
      <w:r>
        <w:rPr>
          <w:rFonts w:hAnsi="仿宋"/>
          <w:szCs w:val="30"/>
        </w:rPr>
        <w:t>50.30</w:t>
      </w:r>
      <w:r>
        <w:rPr>
          <w:rFonts w:hint="eastAsia" w:hAnsi="仿宋"/>
          <w:szCs w:val="30"/>
        </w:rPr>
        <w:t>%）。</w:t>
      </w:r>
    </w:p>
    <w:p>
      <w:pPr>
        <w:spacing w:line="579" w:lineRule="exact"/>
        <w:ind w:firstLine="630" w:firstLineChars="200"/>
        <w:rPr>
          <w:rFonts w:hAnsi="仿宋"/>
          <w:szCs w:val="30"/>
        </w:rPr>
      </w:pPr>
      <w:r>
        <w:rPr>
          <w:rFonts w:hint="eastAsia" w:hAnsi="仿宋"/>
          <w:szCs w:val="30"/>
        </w:rPr>
        <w:t>1</w:t>
      </w:r>
      <w:r>
        <w:rPr>
          <w:rFonts w:hAnsi="仿宋"/>
          <w:szCs w:val="30"/>
        </w:rPr>
        <w:t>.</w:t>
      </w:r>
      <w:r>
        <w:rPr>
          <w:rFonts w:hint="eastAsia" w:hAnsi="仿宋"/>
          <w:szCs w:val="30"/>
        </w:rPr>
        <w:t>项目立项</w:t>
      </w:r>
    </w:p>
    <w:p>
      <w:pPr>
        <w:spacing w:line="579" w:lineRule="exact"/>
        <w:ind w:firstLine="630" w:firstLineChars="200"/>
        <w:rPr>
          <w:rFonts w:hAnsi="仿宋"/>
          <w:kern w:val="0"/>
          <w:szCs w:val="30"/>
        </w:rPr>
      </w:pPr>
      <w:r>
        <w:rPr>
          <w:rFonts w:hint="eastAsia" w:hAnsi="仿宋"/>
          <w:kern w:val="0"/>
          <w:szCs w:val="30"/>
        </w:rPr>
        <w:t>项目立项指标满分</w:t>
      </w:r>
      <w:r>
        <w:rPr>
          <w:rFonts w:hAnsi="仿宋"/>
          <w:kern w:val="0"/>
          <w:szCs w:val="30"/>
        </w:rPr>
        <w:t>9</w:t>
      </w:r>
      <w:r>
        <w:rPr>
          <w:rFonts w:hint="eastAsia" w:hAnsi="仿宋"/>
          <w:kern w:val="0"/>
          <w:szCs w:val="30"/>
        </w:rPr>
        <w:t>分，综合评价得分为</w:t>
      </w:r>
      <w:r>
        <w:rPr>
          <w:rFonts w:hAnsi="仿宋"/>
          <w:kern w:val="0"/>
          <w:szCs w:val="30"/>
        </w:rPr>
        <w:t>3.05</w:t>
      </w:r>
      <w:r>
        <w:rPr>
          <w:rFonts w:hint="eastAsia" w:hAnsi="仿宋"/>
          <w:kern w:val="0"/>
          <w:szCs w:val="30"/>
        </w:rPr>
        <w:t>分，得分率</w:t>
      </w:r>
      <w:r>
        <w:rPr>
          <w:rFonts w:hAnsi="仿宋"/>
          <w:kern w:val="0"/>
          <w:szCs w:val="30"/>
        </w:rPr>
        <w:t>33.89</w:t>
      </w:r>
      <w:r>
        <w:rPr>
          <w:rFonts w:hint="eastAsia" w:hAnsi="仿宋"/>
          <w:kern w:val="0"/>
          <w:szCs w:val="30"/>
        </w:rPr>
        <w:t>%。针对项目立项规范性、绩效目标明确性、绩效指标合理性进行评价。</w:t>
      </w:r>
    </w:p>
    <w:p>
      <w:pPr>
        <w:spacing w:line="579" w:lineRule="exact"/>
        <w:ind w:firstLine="630" w:firstLineChars="200"/>
        <w:rPr>
          <w:rFonts w:hAnsi="仿宋"/>
          <w:szCs w:val="30"/>
        </w:rPr>
      </w:pPr>
      <w:r>
        <w:rPr>
          <w:rFonts w:hint="eastAsia" w:hAnsi="仿宋"/>
          <w:szCs w:val="30"/>
        </w:rPr>
        <w:t>项目编制了初步设计及投资概算文件，未编制项目建议书及可行性研究报告。对批复中“坚持规划指导，市区联动，建管并举。通过花乔木、花灌木、地被、藤本、彩叶植物、时令花卉合理搭配，营造出“日日有花开、月月有特色、季季有变化”的 ‘花城’景观”总体建设目标的要求落实不到位。项目申报时未设置相应的绩效目标及可量化的绩效指标。</w:t>
      </w:r>
    </w:p>
    <w:p>
      <w:pPr>
        <w:spacing w:line="579" w:lineRule="exact"/>
        <w:ind w:firstLine="630" w:firstLineChars="200"/>
        <w:rPr>
          <w:rFonts w:hAnsi="仿宋"/>
          <w:szCs w:val="30"/>
        </w:rPr>
      </w:pPr>
      <w:r>
        <w:rPr>
          <w:rFonts w:hint="eastAsia" w:hAnsi="仿宋"/>
          <w:szCs w:val="30"/>
        </w:rPr>
        <w:t>2</w:t>
      </w:r>
      <w:r>
        <w:rPr>
          <w:rFonts w:hAnsi="仿宋"/>
          <w:szCs w:val="30"/>
        </w:rPr>
        <w:t>.</w:t>
      </w:r>
      <w:r>
        <w:rPr>
          <w:rFonts w:hint="eastAsia" w:hAnsi="仿宋"/>
          <w:szCs w:val="30"/>
        </w:rPr>
        <w:t>资金落实</w:t>
      </w:r>
    </w:p>
    <w:p>
      <w:pPr>
        <w:spacing w:line="579" w:lineRule="exact"/>
        <w:ind w:firstLine="630" w:firstLineChars="200"/>
        <w:rPr>
          <w:rFonts w:hAnsi="仿宋"/>
          <w:kern w:val="0"/>
          <w:szCs w:val="30"/>
        </w:rPr>
      </w:pPr>
      <w:r>
        <w:rPr>
          <w:rFonts w:hint="eastAsia" w:hAnsi="仿宋"/>
          <w:kern w:val="0"/>
          <w:szCs w:val="30"/>
        </w:rPr>
        <w:t>资金落实指标满分</w:t>
      </w:r>
      <w:r>
        <w:rPr>
          <w:rFonts w:hAnsi="仿宋"/>
          <w:kern w:val="0"/>
          <w:szCs w:val="30"/>
        </w:rPr>
        <w:t>11</w:t>
      </w:r>
      <w:r>
        <w:rPr>
          <w:rFonts w:hint="eastAsia" w:hAnsi="仿宋"/>
          <w:kern w:val="0"/>
          <w:szCs w:val="30"/>
        </w:rPr>
        <w:t>分，综合评价得分为</w:t>
      </w:r>
      <w:r>
        <w:rPr>
          <w:rFonts w:hAnsi="仿宋"/>
          <w:kern w:val="0"/>
          <w:szCs w:val="30"/>
        </w:rPr>
        <w:t>6.56</w:t>
      </w:r>
      <w:r>
        <w:rPr>
          <w:rFonts w:hint="eastAsia" w:hAnsi="仿宋"/>
          <w:kern w:val="0"/>
          <w:szCs w:val="30"/>
        </w:rPr>
        <w:t>分，扣</w:t>
      </w:r>
      <w:r>
        <w:rPr>
          <w:rFonts w:hAnsi="仿宋"/>
          <w:kern w:val="0"/>
          <w:szCs w:val="30"/>
        </w:rPr>
        <w:t>4.44</w:t>
      </w:r>
      <w:r>
        <w:rPr>
          <w:rFonts w:hint="eastAsia" w:hAnsi="仿宋"/>
          <w:kern w:val="0"/>
          <w:szCs w:val="30"/>
        </w:rPr>
        <w:t>分，得分率</w:t>
      </w:r>
      <w:r>
        <w:rPr>
          <w:rFonts w:hAnsi="仿宋"/>
          <w:kern w:val="0"/>
          <w:szCs w:val="30"/>
        </w:rPr>
        <w:t>59.64</w:t>
      </w:r>
      <w:r>
        <w:rPr>
          <w:rFonts w:hint="eastAsia" w:hAnsi="仿宋"/>
          <w:kern w:val="0"/>
          <w:szCs w:val="30"/>
        </w:rPr>
        <w:t>%。针对市级资金到位率、县（区）级配套资金到位率、市级、县（区）级资金到位及时率进行评价。</w:t>
      </w:r>
    </w:p>
    <w:p>
      <w:pPr>
        <w:spacing w:line="579" w:lineRule="exact"/>
        <w:ind w:firstLine="630" w:firstLineChars="200"/>
        <w:rPr>
          <w:rFonts w:hAnsi="仿宋"/>
          <w:kern w:val="0"/>
          <w:szCs w:val="30"/>
        </w:rPr>
      </w:pPr>
      <w:r>
        <w:rPr>
          <w:rFonts w:hint="eastAsia" w:hAnsi="仿宋"/>
          <w:kern w:val="0"/>
          <w:szCs w:val="30"/>
        </w:rPr>
        <w:t>市级资金足额到位。县（区）级配套资金到位较差，按照《玉溪市发展和改革委员会关于玉溪市中心城区“花城”景观建设项目实施方案的批复》（玉发改投资〔2017〕553号）中资金来源按市、区财政（含高新区）6:4的比例承担。市级资金到位2</w:t>
      </w:r>
      <w:r>
        <w:rPr>
          <w:rFonts w:hAnsi="仿宋"/>
          <w:kern w:val="0"/>
          <w:szCs w:val="30"/>
        </w:rPr>
        <w:t>000</w:t>
      </w:r>
      <w:r>
        <w:rPr>
          <w:rFonts w:hint="eastAsia" w:hAnsi="仿宋"/>
          <w:kern w:val="0"/>
          <w:szCs w:val="30"/>
        </w:rPr>
        <w:t>万元，县（区）级配套资金应到位1333.33万元，实际仅高新区财政配套到位526万元，未到位资金807.33万元，配套到位率为39.45%。资金到位及时率为</w:t>
      </w:r>
      <w:r>
        <w:rPr>
          <w:rFonts w:hAnsi="仿宋"/>
          <w:kern w:val="0"/>
          <w:szCs w:val="30"/>
        </w:rPr>
        <w:t>71.28</w:t>
      </w:r>
      <w:r>
        <w:rPr>
          <w:rFonts w:hint="eastAsia" w:hAnsi="仿宋"/>
          <w:kern w:val="0"/>
          <w:szCs w:val="30"/>
        </w:rPr>
        <w:t>%，且</w:t>
      </w:r>
      <w:r>
        <w:rPr>
          <w:rFonts w:hint="eastAsia" w:hAnsi="仿宋"/>
          <w:kern w:val="2"/>
          <w:szCs w:val="30"/>
        </w:rPr>
        <w:t>存在跨年度资金拨付的情况。</w:t>
      </w:r>
    </w:p>
    <w:p>
      <w:pPr>
        <w:spacing w:line="579" w:lineRule="exact"/>
        <w:ind w:firstLine="632"/>
        <w:outlineLvl w:val="1"/>
        <w:rPr>
          <w:rFonts w:ascii="楷体" w:hAnsi="楷体" w:eastAsia="楷体"/>
          <w:szCs w:val="30"/>
        </w:rPr>
      </w:pPr>
      <w:bookmarkStart w:id="123" w:name="_Toc32159_WPSOffice_Level2"/>
      <w:bookmarkStart w:id="124" w:name="_Toc18250888"/>
      <w:bookmarkStart w:id="125" w:name="_Toc1524_WPSOffice_Level2"/>
      <w:r>
        <w:rPr>
          <w:rFonts w:hint="eastAsia" w:ascii="楷体" w:hAnsi="楷体" w:eastAsia="楷体"/>
          <w:szCs w:val="30"/>
        </w:rPr>
        <w:t>（二）过程情况分析</w:t>
      </w:r>
      <w:bookmarkEnd w:id="123"/>
      <w:bookmarkEnd w:id="124"/>
      <w:bookmarkEnd w:id="125"/>
    </w:p>
    <w:p>
      <w:pPr>
        <w:spacing w:line="579" w:lineRule="exact"/>
        <w:ind w:firstLine="630" w:firstLineChars="200"/>
        <w:rPr>
          <w:rFonts w:hAnsi="仿宋"/>
          <w:szCs w:val="30"/>
        </w:rPr>
      </w:pPr>
      <w:r>
        <w:rPr>
          <w:rFonts w:hint="eastAsia" w:hAnsi="仿宋"/>
          <w:szCs w:val="30"/>
        </w:rPr>
        <w:t>此项综合评价满分为</w:t>
      </w:r>
      <w:r>
        <w:rPr>
          <w:rFonts w:hAnsi="仿宋"/>
          <w:szCs w:val="30"/>
        </w:rPr>
        <w:t>25</w:t>
      </w:r>
      <w:r>
        <w:rPr>
          <w:rFonts w:hint="eastAsia" w:hAnsi="仿宋"/>
          <w:szCs w:val="30"/>
        </w:rPr>
        <w:t>分，实际得分</w:t>
      </w:r>
      <w:r>
        <w:rPr>
          <w:rFonts w:hAnsi="仿宋"/>
          <w:szCs w:val="30"/>
        </w:rPr>
        <w:t>17</w:t>
      </w:r>
      <w:r>
        <w:rPr>
          <w:rFonts w:hint="eastAsia" w:hAnsi="仿宋"/>
          <w:szCs w:val="30"/>
        </w:rPr>
        <w:t>分（占该项满分值的</w:t>
      </w:r>
      <w:r>
        <w:rPr>
          <w:rFonts w:hAnsi="仿宋"/>
          <w:szCs w:val="30"/>
        </w:rPr>
        <w:t>68</w:t>
      </w:r>
      <w:r>
        <w:rPr>
          <w:rFonts w:hint="eastAsia" w:hAnsi="仿宋"/>
          <w:szCs w:val="30"/>
        </w:rPr>
        <w:t>%）。</w:t>
      </w:r>
    </w:p>
    <w:p>
      <w:pPr>
        <w:spacing w:line="579" w:lineRule="exact"/>
        <w:ind w:firstLine="630" w:firstLineChars="200"/>
        <w:rPr>
          <w:rFonts w:hAnsi="仿宋"/>
          <w:szCs w:val="30"/>
        </w:rPr>
      </w:pPr>
      <w:r>
        <w:rPr>
          <w:rFonts w:hint="eastAsia" w:hAnsi="仿宋"/>
          <w:szCs w:val="30"/>
        </w:rPr>
        <w:t>1</w:t>
      </w:r>
      <w:r>
        <w:rPr>
          <w:rFonts w:hAnsi="仿宋"/>
          <w:szCs w:val="30"/>
        </w:rPr>
        <w:t>.</w:t>
      </w:r>
      <w:r>
        <w:rPr>
          <w:rFonts w:hint="eastAsia" w:hAnsi="仿宋"/>
          <w:szCs w:val="30"/>
        </w:rPr>
        <w:t>项目管理</w:t>
      </w:r>
    </w:p>
    <w:p>
      <w:pPr>
        <w:spacing w:line="579" w:lineRule="exact"/>
        <w:ind w:firstLine="630" w:firstLineChars="200"/>
        <w:rPr>
          <w:rFonts w:hAnsi="仿宋"/>
          <w:kern w:val="0"/>
          <w:szCs w:val="30"/>
        </w:rPr>
      </w:pPr>
      <w:r>
        <w:rPr>
          <w:rFonts w:hint="eastAsia" w:hAnsi="仿宋"/>
          <w:kern w:val="0"/>
          <w:szCs w:val="30"/>
        </w:rPr>
        <w:t>项目管理指标满分</w:t>
      </w:r>
      <w:r>
        <w:rPr>
          <w:rFonts w:hAnsi="仿宋"/>
          <w:kern w:val="0"/>
          <w:szCs w:val="30"/>
        </w:rPr>
        <w:t>20</w:t>
      </w:r>
      <w:r>
        <w:rPr>
          <w:rFonts w:hint="eastAsia" w:hAnsi="仿宋"/>
          <w:kern w:val="0"/>
          <w:szCs w:val="30"/>
        </w:rPr>
        <w:t>分，综合评价得分为</w:t>
      </w:r>
      <w:r>
        <w:rPr>
          <w:rFonts w:hAnsi="仿宋"/>
          <w:kern w:val="0"/>
          <w:szCs w:val="30"/>
        </w:rPr>
        <w:t>15</w:t>
      </w:r>
      <w:r>
        <w:rPr>
          <w:rFonts w:hint="eastAsia" w:hAnsi="仿宋"/>
          <w:kern w:val="0"/>
          <w:szCs w:val="30"/>
        </w:rPr>
        <w:t>分，得分率</w:t>
      </w:r>
      <w:r>
        <w:rPr>
          <w:rFonts w:hAnsi="仿宋"/>
          <w:kern w:val="0"/>
          <w:szCs w:val="30"/>
        </w:rPr>
        <w:t>75</w:t>
      </w:r>
      <w:r>
        <w:rPr>
          <w:rFonts w:hint="eastAsia" w:hAnsi="仿宋"/>
          <w:kern w:val="0"/>
          <w:szCs w:val="30"/>
        </w:rPr>
        <w:t>%。针对管理制度健全性、项目组织管理、实施程序规范性、项目跟踪监管、宣传到位率、档案管理规范性进行评价。</w:t>
      </w:r>
    </w:p>
    <w:p>
      <w:pPr>
        <w:spacing w:line="579" w:lineRule="exact"/>
        <w:ind w:firstLine="630" w:firstLineChars="200"/>
        <w:rPr>
          <w:rFonts w:hAnsi="仿宋"/>
          <w:kern w:val="0"/>
          <w:szCs w:val="30"/>
        </w:rPr>
      </w:pPr>
      <w:r>
        <w:rPr>
          <w:rFonts w:hint="eastAsia" w:hAnsi="仿宋"/>
          <w:kern w:val="0"/>
          <w:szCs w:val="30"/>
        </w:rPr>
        <w:t>项目未按时提交自评报告，自评报告内容与</w:t>
      </w:r>
      <w:r>
        <w:rPr>
          <w:rFonts w:hint="eastAsia" w:hAnsi="仿宋"/>
          <w:szCs w:val="30"/>
        </w:rPr>
        <w:t>玉财投〔201</w:t>
      </w:r>
      <w:r>
        <w:rPr>
          <w:rFonts w:hAnsi="仿宋"/>
          <w:szCs w:val="30"/>
        </w:rPr>
        <w:t>9</w:t>
      </w:r>
      <w:r>
        <w:rPr>
          <w:rFonts w:hint="eastAsia" w:hAnsi="仿宋"/>
          <w:szCs w:val="30"/>
        </w:rPr>
        <w:t>〕</w:t>
      </w:r>
      <w:r>
        <w:rPr>
          <w:rFonts w:hAnsi="仿宋"/>
          <w:szCs w:val="30"/>
        </w:rPr>
        <w:t>8</w:t>
      </w:r>
      <w:r>
        <w:rPr>
          <w:rFonts w:hint="eastAsia" w:hAnsi="仿宋"/>
          <w:kern w:val="0"/>
          <w:szCs w:val="30"/>
        </w:rPr>
        <w:t>号的要求不尽相符；管理制度健全，制定了相应的工程项目管理制度和项目资金管理办法。成立了项目建设领导小组，但责任主体不明确。项目实施过程严格执行项目法人、招标投标、工程监理、信息公开、合同管理等五项制度，但项目在实施过程中发生重大变更未报原审批机关批准，未见区委督查室相关检查记录。项目实施单位派出了有相应资质的工程人员监管，宣传到位、档案管理规范。</w:t>
      </w:r>
    </w:p>
    <w:p>
      <w:pPr>
        <w:spacing w:line="579" w:lineRule="exact"/>
        <w:ind w:firstLine="630" w:firstLineChars="200"/>
        <w:rPr>
          <w:rFonts w:hAnsi="仿宋"/>
          <w:szCs w:val="30"/>
        </w:rPr>
      </w:pPr>
      <w:r>
        <w:rPr>
          <w:rFonts w:hAnsi="仿宋"/>
          <w:szCs w:val="30"/>
        </w:rPr>
        <w:t>2.</w:t>
      </w:r>
      <w:r>
        <w:rPr>
          <w:rFonts w:hint="eastAsia" w:hAnsi="仿宋"/>
          <w:szCs w:val="30"/>
        </w:rPr>
        <w:t>财务管理</w:t>
      </w:r>
    </w:p>
    <w:p>
      <w:pPr>
        <w:spacing w:line="579" w:lineRule="exact"/>
        <w:ind w:firstLine="630" w:firstLineChars="200"/>
        <w:rPr>
          <w:rFonts w:hAnsi="仿宋"/>
          <w:kern w:val="0"/>
          <w:szCs w:val="30"/>
        </w:rPr>
      </w:pPr>
      <w:r>
        <w:rPr>
          <w:rFonts w:hint="eastAsia" w:hAnsi="仿宋"/>
          <w:kern w:val="0"/>
          <w:szCs w:val="30"/>
        </w:rPr>
        <w:t>财务管理指标满分</w:t>
      </w:r>
      <w:r>
        <w:rPr>
          <w:rFonts w:hAnsi="仿宋"/>
          <w:kern w:val="0"/>
          <w:szCs w:val="30"/>
        </w:rPr>
        <w:t>5</w:t>
      </w:r>
      <w:r>
        <w:rPr>
          <w:rFonts w:hint="eastAsia" w:hAnsi="仿宋"/>
          <w:kern w:val="0"/>
          <w:szCs w:val="30"/>
        </w:rPr>
        <w:t>分，综合评价得分为</w:t>
      </w:r>
      <w:r>
        <w:rPr>
          <w:rFonts w:hAnsi="仿宋"/>
          <w:kern w:val="0"/>
          <w:szCs w:val="30"/>
        </w:rPr>
        <w:t>2</w:t>
      </w:r>
      <w:r>
        <w:rPr>
          <w:rFonts w:hint="eastAsia" w:hAnsi="仿宋"/>
          <w:kern w:val="0"/>
          <w:szCs w:val="30"/>
        </w:rPr>
        <w:t>分，得分率</w:t>
      </w:r>
      <w:r>
        <w:rPr>
          <w:rFonts w:hAnsi="仿宋"/>
          <w:kern w:val="0"/>
          <w:szCs w:val="30"/>
        </w:rPr>
        <w:t>40</w:t>
      </w:r>
      <w:r>
        <w:rPr>
          <w:rFonts w:hint="eastAsia" w:hAnsi="仿宋"/>
          <w:kern w:val="0"/>
          <w:szCs w:val="30"/>
        </w:rPr>
        <w:t>%。从资金使用合规性、会计核算规范性进行评价。</w:t>
      </w:r>
    </w:p>
    <w:p>
      <w:pPr>
        <w:spacing w:line="579" w:lineRule="exact"/>
        <w:ind w:firstLine="630" w:firstLineChars="200"/>
        <w:rPr>
          <w:rFonts w:hAnsi="仿宋"/>
          <w:kern w:val="0"/>
          <w:szCs w:val="30"/>
        </w:rPr>
      </w:pPr>
      <w:r>
        <w:rPr>
          <w:rFonts w:hint="eastAsia" w:hAnsi="仿宋"/>
          <w:kern w:val="0"/>
          <w:szCs w:val="30"/>
        </w:rPr>
        <w:t>项目会计核算规范但项目资金使用不符合财务管理相关制度规定，2018年该项目由玉溪市财政局下达至红塔区财政局2000万元，截至评价日仍有486万元未拨付至区城管局，区城管局未按合同约定及时支付工程款。</w:t>
      </w:r>
    </w:p>
    <w:p>
      <w:pPr>
        <w:spacing w:line="579" w:lineRule="exact"/>
        <w:ind w:firstLine="630" w:firstLineChars="200"/>
        <w:outlineLvl w:val="1"/>
        <w:rPr>
          <w:rFonts w:ascii="楷体" w:hAnsi="楷体" w:eastAsia="楷体"/>
          <w:szCs w:val="30"/>
        </w:rPr>
      </w:pPr>
      <w:bookmarkStart w:id="126" w:name="_Toc3878_WPSOffice_Level2"/>
      <w:bookmarkStart w:id="127" w:name="_Toc21660_WPSOffice_Level2"/>
      <w:bookmarkStart w:id="128" w:name="_Toc18250889"/>
      <w:r>
        <w:rPr>
          <w:rFonts w:hint="eastAsia" w:ascii="楷体" w:hAnsi="楷体" w:eastAsia="楷体"/>
          <w:szCs w:val="30"/>
        </w:rPr>
        <w:t>（三）产出情况分析</w:t>
      </w:r>
      <w:bookmarkEnd w:id="126"/>
      <w:bookmarkEnd w:id="127"/>
      <w:bookmarkEnd w:id="128"/>
    </w:p>
    <w:p>
      <w:pPr>
        <w:spacing w:line="579" w:lineRule="exact"/>
        <w:ind w:firstLine="630" w:firstLineChars="200"/>
        <w:rPr>
          <w:rFonts w:hAnsi="仿宋"/>
          <w:szCs w:val="30"/>
        </w:rPr>
      </w:pPr>
      <w:r>
        <w:rPr>
          <w:rFonts w:hint="eastAsia" w:hAnsi="仿宋"/>
          <w:szCs w:val="30"/>
        </w:rPr>
        <w:t>从综合评价得分情况看，此项综合评价满分为</w:t>
      </w:r>
      <w:r>
        <w:rPr>
          <w:rFonts w:hAnsi="仿宋"/>
          <w:szCs w:val="30"/>
        </w:rPr>
        <w:t>30</w:t>
      </w:r>
      <w:r>
        <w:rPr>
          <w:rFonts w:hint="eastAsia" w:hAnsi="仿宋"/>
          <w:szCs w:val="30"/>
        </w:rPr>
        <w:t>分，实际得分</w:t>
      </w:r>
      <w:r>
        <w:rPr>
          <w:rFonts w:hAnsi="仿宋"/>
          <w:szCs w:val="30"/>
        </w:rPr>
        <w:t>18.04</w:t>
      </w:r>
      <w:r>
        <w:rPr>
          <w:rFonts w:hint="eastAsia" w:hAnsi="仿宋"/>
          <w:szCs w:val="30"/>
        </w:rPr>
        <w:t>分（占该项满分值的</w:t>
      </w:r>
      <w:r>
        <w:rPr>
          <w:rFonts w:hAnsi="仿宋"/>
          <w:szCs w:val="30"/>
        </w:rPr>
        <w:t>60.13</w:t>
      </w:r>
      <w:r>
        <w:rPr>
          <w:rFonts w:hint="eastAsia" w:hAnsi="仿宋"/>
          <w:szCs w:val="30"/>
        </w:rPr>
        <w:t>%）。</w:t>
      </w:r>
    </w:p>
    <w:p>
      <w:pPr>
        <w:spacing w:line="579" w:lineRule="exact"/>
        <w:ind w:firstLine="630" w:firstLineChars="200"/>
        <w:rPr>
          <w:rFonts w:hAnsi="仿宋"/>
          <w:szCs w:val="30"/>
        </w:rPr>
      </w:pPr>
      <w:r>
        <w:rPr>
          <w:rFonts w:hint="eastAsia" w:hAnsi="仿宋"/>
          <w:szCs w:val="30"/>
        </w:rPr>
        <w:t>1</w:t>
      </w:r>
      <w:r>
        <w:rPr>
          <w:rFonts w:hAnsi="仿宋"/>
          <w:szCs w:val="30"/>
        </w:rPr>
        <w:t>.</w:t>
      </w:r>
      <w:r>
        <w:rPr>
          <w:rFonts w:hint="eastAsia" w:hAnsi="仿宋"/>
          <w:szCs w:val="30"/>
        </w:rPr>
        <w:t>产出数量</w:t>
      </w:r>
    </w:p>
    <w:p>
      <w:pPr>
        <w:spacing w:line="579" w:lineRule="exact"/>
        <w:ind w:firstLine="630" w:firstLineChars="200"/>
        <w:rPr>
          <w:rFonts w:hAnsi="仿宋"/>
          <w:szCs w:val="30"/>
        </w:rPr>
      </w:pPr>
      <w:r>
        <w:rPr>
          <w:rFonts w:hint="eastAsia" w:hAnsi="仿宋"/>
          <w:szCs w:val="30"/>
        </w:rPr>
        <w:t>产出数量指标满分1</w:t>
      </w:r>
      <w:r>
        <w:rPr>
          <w:rFonts w:hAnsi="仿宋"/>
          <w:szCs w:val="30"/>
        </w:rPr>
        <w:t>9</w:t>
      </w:r>
      <w:r>
        <w:rPr>
          <w:rFonts w:hint="eastAsia" w:hAnsi="仿宋"/>
          <w:szCs w:val="30"/>
        </w:rPr>
        <w:t>分，综合评价得分9</w:t>
      </w:r>
      <w:r>
        <w:rPr>
          <w:rFonts w:hAnsi="仿宋"/>
          <w:szCs w:val="30"/>
        </w:rPr>
        <w:t>.04</w:t>
      </w:r>
      <w:r>
        <w:rPr>
          <w:rFonts w:hint="eastAsia" w:hAnsi="仿宋"/>
          <w:szCs w:val="30"/>
        </w:rPr>
        <w:t>分，得分率4</w:t>
      </w:r>
      <w:r>
        <w:rPr>
          <w:rFonts w:hAnsi="仿宋"/>
          <w:szCs w:val="30"/>
        </w:rPr>
        <w:t>7.58</w:t>
      </w:r>
      <w:r>
        <w:rPr>
          <w:rFonts w:hint="eastAsia" w:hAnsi="仿宋"/>
          <w:szCs w:val="30"/>
        </w:rPr>
        <w:t>%。从资金使用率、绿地改造面积完成率、乔木种植完成率、灌木种植完成率、地被及花卉种植完成率、道路花容器设置完成率进行评价。</w:t>
      </w:r>
    </w:p>
    <w:p>
      <w:pPr>
        <w:spacing w:line="579" w:lineRule="exact"/>
        <w:ind w:firstLine="630" w:firstLineChars="200"/>
        <w:rPr>
          <w:rFonts w:hAnsi="仿宋"/>
          <w:szCs w:val="30"/>
        </w:rPr>
      </w:pPr>
      <w:r>
        <w:rPr>
          <w:rFonts w:hint="eastAsia" w:hAnsi="仿宋"/>
          <w:szCs w:val="30"/>
        </w:rPr>
        <w:t>项目实际到位资金2526万元，实际使用资金2040万元，资金使用率为80.76%。剩余的486万元区城管局无法使用，截止评价日，红塔区财政局仍未拨付至城管局。项目共包含四个标段，截止2019年7月31日仅三个标段完成初验，四标段暂未施工完成。</w:t>
      </w:r>
    </w:p>
    <w:p>
      <w:pPr>
        <w:spacing w:line="579" w:lineRule="exact"/>
        <w:ind w:firstLine="630" w:firstLineChars="200"/>
        <w:rPr>
          <w:rFonts w:hAnsi="仿宋"/>
          <w:szCs w:val="30"/>
        </w:rPr>
      </w:pPr>
      <w:r>
        <w:rPr>
          <w:rFonts w:hint="eastAsia" w:hAnsi="仿宋"/>
          <w:szCs w:val="30"/>
        </w:rPr>
        <w:t>2</w:t>
      </w:r>
      <w:r>
        <w:rPr>
          <w:rFonts w:hAnsi="仿宋"/>
          <w:szCs w:val="30"/>
        </w:rPr>
        <w:t>.</w:t>
      </w:r>
      <w:r>
        <w:rPr>
          <w:rFonts w:hint="eastAsia" w:hAnsi="仿宋"/>
          <w:szCs w:val="30"/>
        </w:rPr>
        <w:t>产出时效</w:t>
      </w:r>
    </w:p>
    <w:p>
      <w:pPr>
        <w:spacing w:line="579" w:lineRule="exact"/>
        <w:ind w:firstLine="630" w:firstLineChars="200"/>
        <w:rPr>
          <w:rFonts w:hAnsi="仿宋"/>
          <w:szCs w:val="30"/>
        </w:rPr>
      </w:pPr>
      <w:r>
        <w:rPr>
          <w:rFonts w:hint="eastAsia" w:hAnsi="仿宋"/>
          <w:szCs w:val="30"/>
        </w:rPr>
        <w:t>产出时效指标满分2分，综合评价得分</w:t>
      </w:r>
      <w:r>
        <w:rPr>
          <w:rFonts w:hAnsi="仿宋"/>
          <w:szCs w:val="30"/>
        </w:rPr>
        <w:t>0</w:t>
      </w:r>
      <w:r>
        <w:rPr>
          <w:rFonts w:hint="eastAsia" w:hAnsi="仿宋"/>
          <w:szCs w:val="30"/>
        </w:rPr>
        <w:t>分，得分率</w:t>
      </w:r>
      <w:r>
        <w:rPr>
          <w:rFonts w:hAnsi="仿宋"/>
          <w:szCs w:val="30"/>
        </w:rPr>
        <w:t>0.00</w:t>
      </w:r>
      <w:r>
        <w:rPr>
          <w:rFonts w:hint="eastAsia" w:hAnsi="仿宋"/>
          <w:szCs w:val="30"/>
        </w:rPr>
        <w:t>%。从项目完成及时率进行评价。</w:t>
      </w:r>
    </w:p>
    <w:p>
      <w:pPr>
        <w:spacing w:line="579" w:lineRule="exact"/>
        <w:ind w:firstLine="630" w:firstLineChars="200"/>
        <w:rPr>
          <w:rFonts w:hAnsi="仿宋"/>
          <w:szCs w:val="30"/>
        </w:rPr>
      </w:pPr>
      <w:r>
        <w:rPr>
          <w:rFonts w:hint="eastAsia" w:hAnsi="仿宋"/>
          <w:szCs w:val="30"/>
        </w:rPr>
        <w:t>按照&lt;中共玉溪市红塔区委办公室 玉溪市红塔区人民政府办公室关于印发《玉溪市中心城区“花城”景观建设实施》的通知&gt;（玉红办通〔2017〕101号 ）规定，市发改委审批立项后，35日内完成确定施工、监理和造价单位，50日内完成工程建设任务。项目包含四个标段，截止2</w:t>
      </w:r>
      <w:r>
        <w:rPr>
          <w:rFonts w:hAnsi="仿宋"/>
          <w:szCs w:val="30"/>
        </w:rPr>
        <w:t>019</w:t>
      </w:r>
      <w:r>
        <w:rPr>
          <w:rFonts w:hint="eastAsia" w:hAnsi="仿宋"/>
          <w:szCs w:val="30"/>
        </w:rPr>
        <w:t>年7月3</w:t>
      </w:r>
      <w:r>
        <w:rPr>
          <w:rFonts w:hAnsi="仿宋"/>
          <w:szCs w:val="30"/>
        </w:rPr>
        <w:t>1</w:t>
      </w:r>
      <w:r>
        <w:rPr>
          <w:rFonts w:hint="eastAsia" w:hAnsi="仿宋"/>
          <w:szCs w:val="30"/>
        </w:rPr>
        <w:t>日仅三个标段完成初验，四标段尚未实施完成，未在规定时间内实施完成。</w:t>
      </w:r>
    </w:p>
    <w:p>
      <w:pPr>
        <w:spacing w:line="579" w:lineRule="exact"/>
        <w:ind w:firstLine="630" w:firstLineChars="200"/>
        <w:rPr>
          <w:rFonts w:hAnsi="仿宋"/>
          <w:szCs w:val="30"/>
        </w:rPr>
      </w:pPr>
      <w:r>
        <w:rPr>
          <w:rFonts w:hint="eastAsia" w:hAnsi="仿宋"/>
          <w:szCs w:val="30"/>
        </w:rPr>
        <w:t>3</w:t>
      </w:r>
      <w:r>
        <w:rPr>
          <w:rFonts w:hAnsi="仿宋"/>
          <w:szCs w:val="30"/>
        </w:rPr>
        <w:t>.</w:t>
      </w:r>
      <w:r>
        <w:rPr>
          <w:rFonts w:hint="eastAsia" w:hAnsi="仿宋"/>
          <w:szCs w:val="30"/>
        </w:rPr>
        <w:t>产出质量</w:t>
      </w:r>
    </w:p>
    <w:p>
      <w:pPr>
        <w:spacing w:line="579" w:lineRule="exact"/>
        <w:ind w:firstLine="630" w:firstLineChars="200"/>
        <w:rPr>
          <w:rFonts w:hAnsi="仿宋"/>
          <w:szCs w:val="30"/>
        </w:rPr>
      </w:pPr>
      <w:r>
        <w:rPr>
          <w:rFonts w:hint="eastAsia" w:hAnsi="仿宋"/>
          <w:szCs w:val="30"/>
        </w:rPr>
        <w:t>产出质量指标满分3分，从项目验收合格率进行评价。此项综合评价得分3分，得分率1</w:t>
      </w:r>
      <w:r>
        <w:rPr>
          <w:rFonts w:hAnsi="仿宋"/>
          <w:szCs w:val="30"/>
        </w:rPr>
        <w:t>00</w:t>
      </w:r>
      <w:r>
        <w:rPr>
          <w:rFonts w:hint="eastAsia" w:hAnsi="仿宋"/>
          <w:szCs w:val="30"/>
        </w:rPr>
        <w:t>%。</w:t>
      </w:r>
    </w:p>
    <w:p>
      <w:pPr>
        <w:spacing w:line="579" w:lineRule="exact"/>
        <w:ind w:firstLine="630" w:firstLineChars="200"/>
        <w:rPr>
          <w:rFonts w:hAnsi="仿宋"/>
          <w:szCs w:val="30"/>
        </w:rPr>
      </w:pPr>
      <w:r>
        <w:rPr>
          <w:rFonts w:hint="eastAsia" w:hAnsi="仿宋"/>
          <w:szCs w:val="30"/>
        </w:rPr>
        <w:t>项目实施完成后，区城管局组织区林业局、监理单位、施工单位、设计单位对项目开展初验，截止2019年7月31日三个标段完成初验，验收合格率均为1</w:t>
      </w:r>
      <w:r>
        <w:rPr>
          <w:rFonts w:hAnsi="仿宋"/>
          <w:szCs w:val="30"/>
        </w:rPr>
        <w:t>00</w:t>
      </w:r>
      <w:r>
        <w:rPr>
          <w:rFonts w:hint="eastAsia" w:hAnsi="仿宋"/>
          <w:szCs w:val="30"/>
        </w:rPr>
        <w:t>%。</w:t>
      </w:r>
    </w:p>
    <w:p>
      <w:pPr>
        <w:spacing w:line="579" w:lineRule="exact"/>
        <w:ind w:firstLine="630" w:firstLineChars="200"/>
        <w:rPr>
          <w:rFonts w:hAnsi="仿宋"/>
          <w:szCs w:val="30"/>
        </w:rPr>
      </w:pPr>
      <w:r>
        <w:rPr>
          <w:rFonts w:hint="eastAsia" w:hAnsi="仿宋"/>
          <w:szCs w:val="30"/>
        </w:rPr>
        <w:t>4</w:t>
      </w:r>
      <w:r>
        <w:rPr>
          <w:rFonts w:hAnsi="仿宋"/>
          <w:szCs w:val="30"/>
        </w:rPr>
        <w:t>.</w:t>
      </w:r>
      <w:r>
        <w:rPr>
          <w:rFonts w:hint="eastAsia" w:hAnsi="仿宋"/>
          <w:szCs w:val="30"/>
        </w:rPr>
        <w:t>产出成本</w:t>
      </w:r>
    </w:p>
    <w:p>
      <w:pPr>
        <w:spacing w:line="579" w:lineRule="exact"/>
        <w:ind w:firstLine="630" w:firstLineChars="200"/>
        <w:rPr>
          <w:rFonts w:hAnsi="仿宋"/>
          <w:szCs w:val="30"/>
        </w:rPr>
      </w:pPr>
      <w:r>
        <w:rPr>
          <w:rFonts w:hint="eastAsia" w:hAnsi="仿宋"/>
          <w:szCs w:val="30"/>
        </w:rPr>
        <w:t>产出成本指标满分6分，综合评价得分6分，得分率1</w:t>
      </w:r>
      <w:r>
        <w:rPr>
          <w:rFonts w:hAnsi="仿宋"/>
          <w:szCs w:val="30"/>
        </w:rPr>
        <w:t>00</w:t>
      </w:r>
      <w:r>
        <w:rPr>
          <w:rFonts w:hint="eastAsia" w:hAnsi="仿宋"/>
          <w:szCs w:val="30"/>
        </w:rPr>
        <w:t>%。从苗木成本合理性、投资成本控制率进行评价。</w:t>
      </w:r>
    </w:p>
    <w:p>
      <w:pPr>
        <w:spacing w:line="579" w:lineRule="exact"/>
        <w:ind w:firstLine="630" w:firstLineChars="200"/>
        <w:rPr>
          <w:rFonts w:hAnsi="仿宋"/>
          <w:szCs w:val="30"/>
        </w:rPr>
      </w:pPr>
      <w:r>
        <w:rPr>
          <w:rFonts w:hint="eastAsia" w:hAnsi="仿宋"/>
          <w:szCs w:val="30"/>
        </w:rPr>
        <w:t>区城管局组织施工单位、监理单位、造价单位进行市场询价，并将询价记录与玉溪市定额站进行沟通，最终形成了五方签章认可的《主要材料（设备）定价表》。项目批复概算总投资为1</w:t>
      </w:r>
      <w:r>
        <w:rPr>
          <w:rFonts w:hAnsi="仿宋"/>
          <w:szCs w:val="30"/>
        </w:rPr>
        <w:t>4108</w:t>
      </w:r>
      <w:r>
        <w:rPr>
          <w:rFonts w:hint="eastAsia" w:hAnsi="仿宋"/>
          <w:szCs w:val="30"/>
        </w:rPr>
        <w:t>万元，截至目前项目未超预算批复。</w:t>
      </w:r>
    </w:p>
    <w:p>
      <w:pPr>
        <w:spacing w:line="579" w:lineRule="exact"/>
        <w:ind w:firstLine="630" w:firstLineChars="200"/>
        <w:outlineLvl w:val="1"/>
        <w:rPr>
          <w:rFonts w:ascii="楷体" w:hAnsi="楷体" w:eastAsia="楷体"/>
          <w:szCs w:val="30"/>
        </w:rPr>
      </w:pPr>
      <w:bookmarkStart w:id="129" w:name="_Toc22958_WPSOffice_Level2"/>
      <w:bookmarkStart w:id="130" w:name="_Toc14381_WPSOffice_Level2"/>
      <w:bookmarkStart w:id="131" w:name="_Toc18250890"/>
      <w:r>
        <w:rPr>
          <w:rFonts w:hint="eastAsia" w:ascii="楷体" w:hAnsi="楷体" w:eastAsia="楷体"/>
          <w:szCs w:val="30"/>
        </w:rPr>
        <w:t>（四）效果情况分析</w:t>
      </w:r>
      <w:bookmarkEnd w:id="129"/>
      <w:bookmarkEnd w:id="130"/>
      <w:bookmarkEnd w:id="131"/>
    </w:p>
    <w:p>
      <w:pPr>
        <w:spacing w:line="579" w:lineRule="exact"/>
        <w:ind w:firstLine="630" w:firstLineChars="200"/>
        <w:rPr>
          <w:rFonts w:hAnsi="仿宋"/>
          <w:szCs w:val="30"/>
        </w:rPr>
      </w:pPr>
      <w:r>
        <w:rPr>
          <w:rFonts w:hint="eastAsia" w:hAnsi="仿宋"/>
          <w:szCs w:val="30"/>
        </w:rPr>
        <w:t>从综合评价得分情况看，此项综合评价满分为</w:t>
      </w:r>
      <w:r>
        <w:rPr>
          <w:rFonts w:hAnsi="仿宋"/>
          <w:szCs w:val="30"/>
        </w:rPr>
        <w:t>25</w:t>
      </w:r>
      <w:r>
        <w:rPr>
          <w:rFonts w:hint="eastAsia" w:hAnsi="仿宋"/>
          <w:szCs w:val="30"/>
        </w:rPr>
        <w:t>分，实际得分</w:t>
      </w:r>
      <w:r>
        <w:rPr>
          <w:rFonts w:hAnsi="仿宋"/>
          <w:szCs w:val="30"/>
        </w:rPr>
        <w:t>17</w:t>
      </w:r>
      <w:r>
        <w:rPr>
          <w:rFonts w:hint="eastAsia" w:hAnsi="仿宋"/>
          <w:szCs w:val="30"/>
        </w:rPr>
        <w:t>分（占该项满分值的</w:t>
      </w:r>
      <w:r>
        <w:rPr>
          <w:rFonts w:hAnsi="仿宋"/>
          <w:szCs w:val="30"/>
        </w:rPr>
        <w:t>68.00</w:t>
      </w:r>
      <w:r>
        <w:rPr>
          <w:rFonts w:hint="eastAsia" w:hAnsi="仿宋"/>
          <w:szCs w:val="30"/>
        </w:rPr>
        <w:t>%）。</w:t>
      </w:r>
    </w:p>
    <w:p>
      <w:pPr>
        <w:spacing w:line="579" w:lineRule="exact"/>
        <w:ind w:firstLine="630" w:firstLineChars="200"/>
        <w:rPr>
          <w:rFonts w:hAnsi="仿宋"/>
          <w:szCs w:val="30"/>
        </w:rPr>
      </w:pPr>
      <w:r>
        <w:rPr>
          <w:rFonts w:hAnsi="仿宋"/>
          <w:szCs w:val="30"/>
        </w:rPr>
        <w:t>1.</w:t>
      </w:r>
      <w:r>
        <w:rPr>
          <w:rFonts w:hint="eastAsia" w:hAnsi="仿宋"/>
          <w:szCs w:val="30"/>
        </w:rPr>
        <w:t>社会效益</w:t>
      </w:r>
    </w:p>
    <w:p>
      <w:pPr>
        <w:spacing w:line="579" w:lineRule="exact"/>
        <w:ind w:firstLine="630" w:firstLineChars="200"/>
        <w:rPr>
          <w:rFonts w:hAnsi="仿宋"/>
          <w:szCs w:val="30"/>
        </w:rPr>
      </w:pPr>
      <w:r>
        <w:rPr>
          <w:rFonts w:hint="eastAsia" w:hAnsi="仿宋"/>
          <w:szCs w:val="30"/>
        </w:rPr>
        <w:t>社会效益指标满分1</w:t>
      </w:r>
      <w:r>
        <w:rPr>
          <w:rFonts w:hAnsi="仿宋"/>
          <w:szCs w:val="30"/>
        </w:rPr>
        <w:t>0</w:t>
      </w:r>
      <w:r>
        <w:rPr>
          <w:rFonts w:hint="eastAsia" w:hAnsi="仿宋"/>
          <w:szCs w:val="30"/>
        </w:rPr>
        <w:t>分，综合评价得分</w:t>
      </w:r>
      <w:r>
        <w:rPr>
          <w:rFonts w:hAnsi="仿宋"/>
          <w:szCs w:val="30"/>
        </w:rPr>
        <w:t>6</w:t>
      </w:r>
      <w:r>
        <w:rPr>
          <w:rFonts w:hint="eastAsia" w:hAnsi="仿宋"/>
          <w:szCs w:val="30"/>
        </w:rPr>
        <w:t>分，得分率</w:t>
      </w:r>
      <w:r>
        <w:rPr>
          <w:rFonts w:hAnsi="仿宋"/>
          <w:szCs w:val="30"/>
        </w:rPr>
        <w:t>60</w:t>
      </w:r>
      <w:r>
        <w:rPr>
          <w:rFonts w:hint="eastAsia" w:hAnsi="仿宋"/>
          <w:szCs w:val="30"/>
        </w:rPr>
        <w:t>%。从安全文明施工、整体环境改善情况进行评价。</w:t>
      </w:r>
    </w:p>
    <w:p>
      <w:pPr>
        <w:spacing w:line="579" w:lineRule="exact"/>
        <w:ind w:firstLine="630" w:firstLineChars="200"/>
        <w:rPr>
          <w:rFonts w:hAnsi="仿宋"/>
          <w:szCs w:val="30"/>
        </w:rPr>
      </w:pPr>
      <w:r>
        <w:rPr>
          <w:rFonts w:hint="eastAsia" w:hAnsi="仿宋"/>
          <w:szCs w:val="30"/>
        </w:rPr>
        <w:t>项目施工现场设置了“五牌一图”，部分施工现场未设置围挡，项目现场的建筑材料、建筑垃圾、渣土未乱堆乱放，施工过程中未发生安全事故。环境有一定改善，但花卉及草坪部分死亡、栽种稀疏，未充分实现“日日有花开、月月有特色、季季有变化”的景观建设目标。</w:t>
      </w:r>
    </w:p>
    <w:p>
      <w:pPr>
        <w:spacing w:line="579" w:lineRule="exact"/>
        <w:ind w:firstLine="630" w:firstLineChars="200"/>
        <w:rPr>
          <w:rFonts w:hAnsi="仿宋"/>
          <w:szCs w:val="30"/>
        </w:rPr>
      </w:pPr>
      <w:r>
        <w:rPr>
          <w:rFonts w:hint="eastAsia" w:hAnsi="仿宋"/>
          <w:szCs w:val="30"/>
        </w:rPr>
        <w:t>2</w:t>
      </w:r>
      <w:r>
        <w:rPr>
          <w:rFonts w:hAnsi="仿宋"/>
          <w:szCs w:val="30"/>
        </w:rPr>
        <w:t>.</w:t>
      </w:r>
      <w:r>
        <w:rPr>
          <w:rFonts w:hint="eastAsia" w:hAnsi="仿宋"/>
          <w:szCs w:val="30"/>
        </w:rPr>
        <w:t>可持续影响</w:t>
      </w:r>
    </w:p>
    <w:p>
      <w:pPr>
        <w:spacing w:line="579" w:lineRule="exact"/>
        <w:ind w:firstLine="630" w:firstLineChars="200"/>
        <w:rPr>
          <w:rFonts w:hAnsi="仿宋"/>
          <w:szCs w:val="30"/>
        </w:rPr>
      </w:pPr>
      <w:r>
        <w:rPr>
          <w:rFonts w:hint="eastAsia" w:hAnsi="仿宋"/>
          <w:szCs w:val="30"/>
        </w:rPr>
        <w:t>可持续影响指标满分1</w:t>
      </w:r>
      <w:r>
        <w:rPr>
          <w:rFonts w:hAnsi="仿宋"/>
          <w:szCs w:val="30"/>
        </w:rPr>
        <w:t>0</w:t>
      </w:r>
      <w:r>
        <w:rPr>
          <w:rFonts w:hint="eastAsia" w:hAnsi="仿宋"/>
          <w:szCs w:val="30"/>
        </w:rPr>
        <w:t>分，综合评价得分8分，得分率8</w:t>
      </w:r>
      <w:r>
        <w:rPr>
          <w:rFonts w:hAnsi="仿宋"/>
          <w:szCs w:val="30"/>
        </w:rPr>
        <w:t>0</w:t>
      </w:r>
      <w:r>
        <w:rPr>
          <w:rFonts w:hint="eastAsia" w:hAnsi="仿宋"/>
          <w:szCs w:val="30"/>
        </w:rPr>
        <w:t>%。从苗木存活率、绿化后续管养进行评价。</w:t>
      </w:r>
    </w:p>
    <w:p>
      <w:pPr>
        <w:spacing w:line="579" w:lineRule="exact"/>
        <w:ind w:firstLine="630" w:firstLineChars="200"/>
        <w:rPr>
          <w:rFonts w:hAnsi="仿宋"/>
          <w:szCs w:val="30"/>
        </w:rPr>
      </w:pPr>
      <w:r>
        <w:rPr>
          <w:rFonts w:hint="eastAsia" w:hAnsi="仿宋"/>
          <w:szCs w:val="30"/>
        </w:rPr>
        <w:t>根据施工单位《苗木管养工作记录》显示，苗木存在部分死亡情况，我方实地评价过程中也对项目进行实地踏勘，存在部分花卉及草坪死亡、栽种稀疏，未对这些苗木进行及时更换。项目制定了相应的管护实施办法，并定期对栽种的苗木进行管养。</w:t>
      </w:r>
    </w:p>
    <w:p>
      <w:pPr>
        <w:spacing w:line="579" w:lineRule="exact"/>
        <w:ind w:firstLine="630" w:firstLineChars="200"/>
        <w:rPr>
          <w:rFonts w:hAnsi="仿宋"/>
          <w:szCs w:val="30"/>
        </w:rPr>
      </w:pPr>
      <w:r>
        <w:rPr>
          <w:rFonts w:hint="eastAsia" w:hAnsi="仿宋"/>
          <w:szCs w:val="30"/>
        </w:rPr>
        <w:t>3</w:t>
      </w:r>
      <w:r>
        <w:rPr>
          <w:rFonts w:hAnsi="仿宋"/>
          <w:szCs w:val="30"/>
        </w:rPr>
        <w:t>.</w:t>
      </w:r>
      <w:r>
        <w:rPr>
          <w:rFonts w:hint="eastAsia" w:hAnsi="仿宋"/>
          <w:szCs w:val="30"/>
        </w:rPr>
        <w:t>服务对象满意度</w:t>
      </w:r>
    </w:p>
    <w:p>
      <w:pPr>
        <w:spacing w:line="579" w:lineRule="exact"/>
        <w:ind w:firstLine="630" w:firstLineChars="200"/>
        <w:rPr>
          <w:rFonts w:hAnsi="仿宋"/>
          <w:szCs w:val="30"/>
        </w:rPr>
      </w:pPr>
      <w:r>
        <w:rPr>
          <w:rFonts w:hint="eastAsia" w:hAnsi="仿宋"/>
          <w:kern w:val="0"/>
          <w:szCs w:val="30"/>
        </w:rPr>
        <w:t>本次再评价累计发放</w:t>
      </w:r>
      <w:r>
        <w:rPr>
          <w:rFonts w:hAnsi="仿宋"/>
          <w:kern w:val="0"/>
          <w:szCs w:val="30"/>
        </w:rPr>
        <w:t>5</w:t>
      </w:r>
      <w:r>
        <w:rPr>
          <w:rFonts w:hint="eastAsia" w:hAnsi="仿宋"/>
          <w:kern w:val="0"/>
          <w:szCs w:val="30"/>
        </w:rPr>
        <w:t>0份问卷调查表，回收</w:t>
      </w:r>
      <w:r>
        <w:rPr>
          <w:rFonts w:hAnsi="仿宋"/>
          <w:kern w:val="0"/>
          <w:szCs w:val="30"/>
        </w:rPr>
        <w:t>50</w:t>
      </w:r>
      <w:r>
        <w:rPr>
          <w:rFonts w:hint="eastAsia" w:hAnsi="仿宋"/>
          <w:kern w:val="0"/>
          <w:szCs w:val="30"/>
        </w:rPr>
        <w:t>份有效问卷。根据问卷结果显示玉溪市中心城区“花城”景观建设市级补助资金项目的满意程度为</w:t>
      </w:r>
      <w:r>
        <w:rPr>
          <w:rFonts w:hAnsi="仿宋"/>
          <w:kern w:val="0"/>
          <w:szCs w:val="30"/>
        </w:rPr>
        <w:t>76</w:t>
      </w:r>
      <w:r>
        <w:rPr>
          <w:rFonts w:hint="eastAsia" w:hAnsi="仿宋"/>
          <w:kern w:val="0"/>
          <w:szCs w:val="30"/>
        </w:rPr>
        <w:t>%。社会群众对苗木存活率、整体城市环境改善满意度一般。</w:t>
      </w:r>
    </w:p>
    <w:p>
      <w:pPr>
        <w:spacing w:line="579" w:lineRule="exact"/>
        <w:ind w:firstLine="630" w:firstLineChars="200"/>
        <w:outlineLvl w:val="0"/>
        <w:rPr>
          <w:rFonts w:ascii="黑体" w:hAnsi="宋体" w:eastAsia="黑体" w:cs="宋体"/>
          <w:szCs w:val="30"/>
        </w:rPr>
      </w:pPr>
      <w:bookmarkStart w:id="132" w:name="_Toc18250891"/>
      <w:bookmarkStart w:id="133" w:name="_Toc14237_WPSOffice_Level1"/>
      <w:bookmarkStart w:id="134" w:name="_Toc25243_WPSOffice_Level1"/>
      <w:r>
        <w:rPr>
          <w:rFonts w:hint="eastAsia" w:ascii="黑体" w:hAnsi="宋体" w:eastAsia="黑体" w:cs="宋体"/>
          <w:szCs w:val="30"/>
        </w:rPr>
        <w:t>六、工程项目审核情况</w:t>
      </w:r>
      <w:bookmarkEnd w:id="132"/>
      <w:bookmarkEnd w:id="133"/>
      <w:bookmarkEnd w:id="134"/>
    </w:p>
    <w:p>
      <w:pPr>
        <w:spacing w:line="579" w:lineRule="exact"/>
        <w:ind w:firstLine="630" w:firstLineChars="200"/>
        <w:rPr>
          <w:rFonts w:hAnsi="仿宋"/>
          <w:szCs w:val="30"/>
        </w:rPr>
      </w:pPr>
      <w:r>
        <w:rPr>
          <w:rFonts w:hint="eastAsia" w:hAnsi="仿宋"/>
          <w:szCs w:val="30"/>
        </w:rPr>
        <w:t>玉溪市中心城区“花城”景观建设项目采用E</w:t>
      </w:r>
      <w:r>
        <w:rPr>
          <w:rFonts w:hAnsi="仿宋"/>
          <w:szCs w:val="30"/>
        </w:rPr>
        <w:t>PC</w:t>
      </w:r>
      <w:r>
        <w:rPr>
          <w:rFonts w:hint="eastAsia" w:hAnsi="仿宋"/>
          <w:szCs w:val="30"/>
        </w:rPr>
        <w:t>（设计-采购-施工总承包）模式施工。项目建设单位为玉溪市红塔区城市管理局</w:t>
      </w:r>
      <w:r>
        <w:rPr>
          <w:rFonts w:hint="eastAsia"/>
        </w:rPr>
        <w:t>（以下简称“区城管局”），区城管局委托云南惟诚工程招标代理有限公司进行本项目的招标代理服务，包括工程招标（E</w:t>
      </w:r>
      <w:r>
        <w:t>PC</w:t>
      </w:r>
      <w:r>
        <w:rPr>
          <w:rFonts w:hint="eastAsia"/>
        </w:rPr>
        <w:t>）、监理招标、全过程造价咨询招标等本项目所包含的所有招标代理服务。本次工程采用公开招标方式分为四个标段进行招标，分别为：一标段红塔区昆玉高速及玉江高速绿化景观改造，二标段红塔区辖区绿化景观改造，三标段为高新区辖区绿化景观改造，四标段为红塔区辖区四个立交绿化景观改造。中标单位分别为云南中云园林工程有限公司、云南生源环境技术有限公司、云南地标环境建设工程有限公司、云南能投水保环保建设工程有限公司。项目监理第一次采用公开招标方式，但截止投标书递交时间，递交投标文件的投标人不足三家，本次招标失败，后采用邀请招标方式确定了玉溪世纪永立建设监理有限公司为本项目监理。</w:t>
      </w:r>
      <w:r>
        <w:rPr>
          <w:rFonts w:hAnsi="仿宋"/>
          <w:szCs w:val="30"/>
        </w:rPr>
        <w:t xml:space="preserve"> </w:t>
      </w:r>
      <w:r>
        <w:rPr>
          <w:rFonts w:hint="eastAsia" w:hAnsi="仿宋"/>
          <w:szCs w:val="30"/>
        </w:rPr>
        <w:t>项目全过程造价咨询为昆明和信工程造价咨询有限公司。项目工期要求为2</w:t>
      </w:r>
      <w:r>
        <w:rPr>
          <w:rFonts w:hAnsi="仿宋"/>
          <w:szCs w:val="30"/>
        </w:rPr>
        <w:t>018</w:t>
      </w:r>
      <w:r>
        <w:rPr>
          <w:rFonts w:hint="eastAsia" w:hAnsi="仿宋"/>
          <w:szCs w:val="30"/>
        </w:rPr>
        <w:t>年2月1</w:t>
      </w:r>
      <w:r>
        <w:rPr>
          <w:rFonts w:hAnsi="仿宋"/>
          <w:szCs w:val="30"/>
        </w:rPr>
        <w:t>0</w:t>
      </w:r>
      <w:r>
        <w:rPr>
          <w:rFonts w:hint="eastAsia" w:hAnsi="仿宋"/>
          <w:szCs w:val="30"/>
        </w:rPr>
        <w:t>日完成施工任务（签订合同后开始计算，设计工期不得超过1</w:t>
      </w:r>
      <w:r>
        <w:rPr>
          <w:rFonts w:hAnsi="仿宋"/>
          <w:szCs w:val="30"/>
        </w:rPr>
        <w:t>5</w:t>
      </w:r>
      <w:r>
        <w:rPr>
          <w:rFonts w:hint="eastAsia" w:hAnsi="仿宋"/>
          <w:szCs w:val="30"/>
        </w:rPr>
        <w:t>个日历天）。初验结束后一年的管护期。</w:t>
      </w:r>
    </w:p>
    <w:p>
      <w:pPr>
        <w:spacing w:line="579" w:lineRule="exact"/>
        <w:ind w:firstLine="630" w:firstLineChars="200"/>
        <w:rPr>
          <w:rFonts w:hAnsi="仿宋"/>
          <w:szCs w:val="30"/>
        </w:rPr>
      </w:pPr>
      <w:r>
        <w:rPr>
          <w:rFonts w:hint="eastAsia" w:hAnsi="仿宋"/>
          <w:szCs w:val="30"/>
        </w:rPr>
        <w:t>通过项目组的实地评价发现，项目严格执行项目法人、招标投标、工程监理、信息公开、合同管理等五项制度，施工单位在项目实施过程中制定详细的施工组织设计，保障项目正常有序的进行，但项目实施过程存在以下问题：</w:t>
      </w:r>
    </w:p>
    <w:p>
      <w:pPr>
        <w:spacing w:line="579" w:lineRule="exact"/>
        <w:ind w:firstLine="630" w:firstLineChars="200"/>
        <w:rPr>
          <w:rFonts w:hAnsi="仿宋"/>
          <w:szCs w:val="30"/>
        </w:rPr>
      </w:pPr>
      <w:r>
        <w:rPr>
          <w:rFonts w:hint="eastAsia" w:hAnsi="仿宋"/>
          <w:szCs w:val="30"/>
        </w:rPr>
        <w:t>一是截至项目评价日，该项目完成一、二、三标段初验。一标段项目开工日期为2</w:t>
      </w:r>
      <w:r>
        <w:rPr>
          <w:rFonts w:hAnsi="仿宋"/>
          <w:szCs w:val="30"/>
        </w:rPr>
        <w:t>018</w:t>
      </w:r>
      <w:r>
        <w:rPr>
          <w:rFonts w:hint="eastAsia" w:hAnsi="仿宋"/>
          <w:szCs w:val="30"/>
        </w:rPr>
        <w:t>年1月1日，项目竣工日期为2</w:t>
      </w:r>
      <w:r>
        <w:rPr>
          <w:rFonts w:hAnsi="仿宋"/>
          <w:szCs w:val="30"/>
        </w:rPr>
        <w:t>018</w:t>
      </w:r>
      <w:r>
        <w:rPr>
          <w:rFonts w:hint="eastAsia" w:hAnsi="仿宋"/>
          <w:szCs w:val="30"/>
        </w:rPr>
        <w:t>年5月2</w:t>
      </w:r>
      <w:r>
        <w:rPr>
          <w:rFonts w:hAnsi="仿宋"/>
          <w:szCs w:val="30"/>
        </w:rPr>
        <w:t>5</w:t>
      </w:r>
      <w:r>
        <w:rPr>
          <w:rFonts w:hint="eastAsia" w:hAnsi="仿宋"/>
          <w:szCs w:val="30"/>
        </w:rPr>
        <w:t>日；二标段项目开工日期为2</w:t>
      </w:r>
      <w:r>
        <w:rPr>
          <w:rFonts w:hAnsi="仿宋"/>
          <w:szCs w:val="30"/>
        </w:rPr>
        <w:t>018</w:t>
      </w:r>
      <w:r>
        <w:rPr>
          <w:rFonts w:hint="eastAsia" w:hAnsi="仿宋"/>
          <w:szCs w:val="30"/>
        </w:rPr>
        <w:t>年1月4日，项目竣工日期为2</w:t>
      </w:r>
      <w:r>
        <w:rPr>
          <w:rFonts w:hAnsi="仿宋"/>
          <w:szCs w:val="30"/>
        </w:rPr>
        <w:t>018</w:t>
      </w:r>
      <w:r>
        <w:rPr>
          <w:rFonts w:hint="eastAsia" w:hAnsi="仿宋"/>
          <w:szCs w:val="30"/>
        </w:rPr>
        <w:t>年1</w:t>
      </w:r>
      <w:r>
        <w:rPr>
          <w:rFonts w:hAnsi="仿宋"/>
          <w:szCs w:val="30"/>
        </w:rPr>
        <w:t>1</w:t>
      </w:r>
      <w:r>
        <w:rPr>
          <w:rFonts w:hint="eastAsia" w:hAnsi="仿宋"/>
          <w:szCs w:val="30"/>
        </w:rPr>
        <w:t>月1</w:t>
      </w:r>
      <w:r>
        <w:rPr>
          <w:rFonts w:hAnsi="仿宋"/>
          <w:szCs w:val="30"/>
        </w:rPr>
        <w:t>0</w:t>
      </w:r>
      <w:r>
        <w:rPr>
          <w:rFonts w:hint="eastAsia" w:hAnsi="仿宋"/>
          <w:szCs w:val="30"/>
        </w:rPr>
        <w:t>日；三标段一期项目开工日期为2</w:t>
      </w:r>
      <w:r>
        <w:rPr>
          <w:rFonts w:hAnsi="仿宋"/>
          <w:szCs w:val="30"/>
        </w:rPr>
        <w:t>018</w:t>
      </w:r>
      <w:r>
        <w:rPr>
          <w:rFonts w:hint="eastAsia" w:hAnsi="仿宋"/>
          <w:szCs w:val="30"/>
        </w:rPr>
        <w:t>年1月4日，项目竣工日期为2</w:t>
      </w:r>
      <w:r>
        <w:rPr>
          <w:rFonts w:hAnsi="仿宋"/>
          <w:szCs w:val="30"/>
        </w:rPr>
        <w:t>018</w:t>
      </w:r>
      <w:r>
        <w:rPr>
          <w:rFonts w:hint="eastAsia" w:hAnsi="仿宋"/>
          <w:szCs w:val="30"/>
        </w:rPr>
        <w:t>年9月2</w:t>
      </w:r>
      <w:r>
        <w:rPr>
          <w:rFonts w:hAnsi="仿宋"/>
          <w:szCs w:val="30"/>
        </w:rPr>
        <w:t>0</w:t>
      </w:r>
      <w:r>
        <w:rPr>
          <w:rFonts w:hint="eastAsia" w:hAnsi="仿宋"/>
          <w:szCs w:val="30"/>
        </w:rPr>
        <w:t>日；三标段二期项目开工日期为2</w:t>
      </w:r>
      <w:r>
        <w:rPr>
          <w:rFonts w:hAnsi="仿宋"/>
          <w:szCs w:val="30"/>
        </w:rPr>
        <w:t>018</w:t>
      </w:r>
      <w:r>
        <w:rPr>
          <w:rFonts w:hint="eastAsia" w:hAnsi="仿宋"/>
          <w:szCs w:val="30"/>
        </w:rPr>
        <w:t>年</w:t>
      </w:r>
      <w:r>
        <w:rPr>
          <w:rFonts w:hAnsi="仿宋"/>
          <w:szCs w:val="30"/>
        </w:rPr>
        <w:t>10</w:t>
      </w:r>
      <w:r>
        <w:rPr>
          <w:rFonts w:hint="eastAsia" w:hAnsi="仿宋"/>
          <w:szCs w:val="30"/>
        </w:rPr>
        <w:t>月1日，项目竣工日期为2</w:t>
      </w:r>
      <w:r>
        <w:rPr>
          <w:rFonts w:hAnsi="仿宋"/>
          <w:szCs w:val="30"/>
        </w:rPr>
        <w:t>019</w:t>
      </w:r>
      <w:r>
        <w:rPr>
          <w:rFonts w:hint="eastAsia" w:hAnsi="仿宋"/>
          <w:szCs w:val="30"/>
        </w:rPr>
        <w:t>年1月2</w:t>
      </w:r>
      <w:r>
        <w:rPr>
          <w:rFonts w:hAnsi="仿宋"/>
          <w:szCs w:val="30"/>
        </w:rPr>
        <w:t>0</w:t>
      </w:r>
      <w:r>
        <w:rPr>
          <w:rFonts w:hint="eastAsia" w:hAnsi="仿宋"/>
          <w:szCs w:val="30"/>
        </w:rPr>
        <w:t>日；四标段至今尚未施工完成。依据各标段工程施工合同签订工期，项目施工工期滞后，区城管局回复为项目建设过程中，因施工设计方案变更等客观问题所导致。</w:t>
      </w:r>
    </w:p>
    <w:p>
      <w:pPr>
        <w:spacing w:line="579" w:lineRule="exact"/>
        <w:ind w:firstLine="630" w:firstLineChars="200"/>
        <w:rPr>
          <w:rFonts w:hAnsi="仿宋"/>
          <w:szCs w:val="30"/>
        </w:rPr>
      </w:pPr>
      <w:r>
        <w:rPr>
          <w:rFonts w:hint="eastAsia" w:hAnsi="仿宋"/>
          <w:szCs w:val="30"/>
        </w:rPr>
        <w:t>二是项目施工合同条款约定不尽完善。依据《玉溪市中心城区“花城”景观建设专题会议纪要》第8</w:t>
      </w:r>
      <w:r>
        <w:rPr>
          <w:rFonts w:hAnsi="仿宋"/>
          <w:szCs w:val="30"/>
        </w:rPr>
        <w:t>2</w:t>
      </w:r>
      <w:r>
        <w:rPr>
          <w:rFonts w:hint="eastAsia" w:hAnsi="仿宋"/>
          <w:szCs w:val="30"/>
        </w:rPr>
        <w:t>期第四条，工程建设过程中取费计价办法执行2</w:t>
      </w:r>
      <w:r>
        <w:rPr>
          <w:rFonts w:hAnsi="仿宋"/>
          <w:szCs w:val="30"/>
        </w:rPr>
        <w:t>013</w:t>
      </w:r>
      <w:r>
        <w:rPr>
          <w:rFonts w:hint="eastAsia" w:hAnsi="仿宋"/>
          <w:szCs w:val="30"/>
        </w:rPr>
        <w:t>市政定额标准，主材单价采用工程当月《玉溪工程建设标准造价》的指导价，指导价中没有的，由造价单位、招标人、中标施工单位、监理单位四方依据市场情况在采购现场共同认定。此项内容未在施工合同内体现。</w:t>
      </w:r>
    </w:p>
    <w:p>
      <w:pPr>
        <w:spacing w:line="579" w:lineRule="exact"/>
        <w:ind w:firstLine="630" w:firstLineChars="200"/>
        <w:rPr>
          <w:rFonts w:hAnsi="仿宋"/>
          <w:szCs w:val="30"/>
        </w:rPr>
      </w:pPr>
      <w:r>
        <w:rPr>
          <w:rFonts w:hint="eastAsia" w:hAnsi="仿宋"/>
          <w:szCs w:val="30"/>
        </w:rPr>
        <w:t>三是工程结算审核滞后。一、二、三标段均已在2</w:t>
      </w:r>
      <w:r>
        <w:rPr>
          <w:rFonts w:hAnsi="仿宋"/>
          <w:szCs w:val="30"/>
        </w:rPr>
        <w:t>019</w:t>
      </w:r>
      <w:r>
        <w:rPr>
          <w:rFonts w:hint="eastAsia" w:hAnsi="仿宋"/>
          <w:szCs w:val="30"/>
        </w:rPr>
        <w:t>年1月2</w:t>
      </w:r>
      <w:r>
        <w:rPr>
          <w:rFonts w:hAnsi="仿宋"/>
          <w:szCs w:val="30"/>
        </w:rPr>
        <w:t>0</w:t>
      </w:r>
      <w:r>
        <w:rPr>
          <w:rFonts w:hint="eastAsia" w:hAnsi="仿宋"/>
          <w:szCs w:val="30"/>
        </w:rPr>
        <w:t>日前竣工，但截止评价日仍未有任何一个标段完成工程结算审核并出具审核报告。</w:t>
      </w:r>
    </w:p>
    <w:p>
      <w:pPr>
        <w:spacing w:line="579" w:lineRule="exact"/>
        <w:ind w:firstLine="630" w:firstLineChars="200"/>
        <w:outlineLvl w:val="0"/>
        <w:rPr>
          <w:rFonts w:ascii="黑体" w:hAnsi="宋体" w:eastAsia="黑体" w:cs="宋体"/>
          <w:szCs w:val="30"/>
        </w:rPr>
      </w:pPr>
      <w:bookmarkStart w:id="135" w:name="_Toc4577_WPSOffice_Level1"/>
      <w:bookmarkStart w:id="136" w:name="_Toc11206_WPSOffice_Level1"/>
      <w:bookmarkStart w:id="137" w:name="_Toc18250892"/>
      <w:r>
        <w:rPr>
          <w:rFonts w:hint="eastAsia" w:ascii="黑体" w:hAnsi="宋体" w:eastAsia="黑体" w:cs="宋体"/>
          <w:szCs w:val="30"/>
        </w:rPr>
        <w:t>七、存在问题及原因分析</w:t>
      </w:r>
      <w:bookmarkEnd w:id="135"/>
      <w:bookmarkEnd w:id="136"/>
      <w:bookmarkEnd w:id="137"/>
    </w:p>
    <w:p>
      <w:pPr>
        <w:spacing w:line="579" w:lineRule="exact"/>
        <w:ind w:firstLine="632"/>
        <w:outlineLvl w:val="1"/>
        <w:rPr>
          <w:rFonts w:ascii="楷体" w:hAnsi="楷体" w:eastAsia="楷体"/>
          <w:szCs w:val="30"/>
        </w:rPr>
      </w:pPr>
      <w:bookmarkStart w:id="138" w:name="_Toc4874_WPSOffice_Level2"/>
      <w:bookmarkStart w:id="139" w:name="_Toc18250893"/>
      <w:bookmarkStart w:id="140" w:name="_Toc13042_WPSOffice_Level2"/>
      <w:r>
        <w:rPr>
          <w:rFonts w:hint="eastAsia" w:ascii="楷体" w:hAnsi="楷体" w:eastAsia="楷体"/>
          <w:szCs w:val="30"/>
        </w:rPr>
        <w:t>（一）项目组织实施不明确、制度保障不到位</w:t>
      </w:r>
      <w:bookmarkEnd w:id="138"/>
      <w:bookmarkEnd w:id="139"/>
      <w:bookmarkEnd w:id="140"/>
    </w:p>
    <w:p>
      <w:pPr>
        <w:spacing w:line="579" w:lineRule="exact"/>
        <w:ind w:firstLine="630" w:firstLineChars="200"/>
        <w:rPr>
          <w:rFonts w:hAnsi="仿宋"/>
          <w:szCs w:val="30"/>
        </w:rPr>
      </w:pPr>
      <w:r>
        <w:rPr>
          <w:rFonts w:hint="eastAsia" w:hAnsi="仿宋"/>
          <w:szCs w:val="30"/>
        </w:rPr>
        <w:t>评价中，无具体的文件明确项目组织实施各方职责，项目分工不够明确，实际实施过程中各方责任不清晰。红塔区“花城”景观项目建设涉及多单位协同配合，如区城管局、区财政局、区住建局、市规划局红塔分局、区林业局等，按照市委、市政府的工作要求，由红塔区人民政府牵头，区城管局组织实施。但项目实施过程中主要材料认价表，建设单位盖章为玉溪市红塔区林业局；截至评价日</w:t>
      </w:r>
      <w:r>
        <w:rPr>
          <w:rFonts w:hint="eastAsia" w:hAnsi="仿宋"/>
          <w:szCs w:val="30"/>
          <w:lang w:val="en-US" w:eastAsia="zh-CN"/>
        </w:rPr>
        <w:t>区城管局</w:t>
      </w:r>
      <w:r>
        <w:rPr>
          <w:rFonts w:hint="eastAsia" w:hAnsi="仿宋"/>
          <w:szCs w:val="30"/>
        </w:rPr>
        <w:t>仍</w:t>
      </w:r>
      <w:r>
        <w:rPr>
          <w:rFonts w:hint="eastAsia" w:hAnsi="仿宋"/>
          <w:szCs w:val="30"/>
          <w:lang w:val="en-US" w:eastAsia="zh-CN"/>
        </w:rPr>
        <w:t>未使用</w:t>
      </w:r>
      <w:r>
        <w:rPr>
          <w:rFonts w:hint="eastAsia" w:hAnsi="仿宋"/>
          <w:szCs w:val="30"/>
        </w:rPr>
        <w:t>市级资金486万元</w:t>
      </w:r>
      <w:bookmarkStart w:id="171" w:name="_GoBack"/>
      <w:bookmarkEnd w:id="171"/>
      <w:r>
        <w:rPr>
          <w:rFonts w:hint="eastAsia" w:hAnsi="仿宋"/>
          <w:szCs w:val="30"/>
        </w:rPr>
        <w:t>，导致项目工程款不能按合同约定及时支付。由于缺乏有效的制度保障、完善的项目组织管理，导致各方在项目建设中的主要责任不明确，资金到位不及时，建设过程中的协同机制执行不到位。</w:t>
      </w:r>
    </w:p>
    <w:p>
      <w:pPr>
        <w:spacing w:line="579" w:lineRule="exact"/>
        <w:ind w:firstLine="632"/>
        <w:outlineLvl w:val="1"/>
        <w:rPr>
          <w:rFonts w:ascii="楷体" w:hAnsi="楷体" w:eastAsia="楷体"/>
          <w:szCs w:val="30"/>
        </w:rPr>
      </w:pPr>
      <w:bookmarkStart w:id="141" w:name="_Toc18250894"/>
      <w:bookmarkStart w:id="142" w:name="_Toc22024_WPSOffice_Level2"/>
      <w:bookmarkStart w:id="143" w:name="_Toc6448_WPSOffice_Level2"/>
      <w:r>
        <w:rPr>
          <w:rFonts w:hint="eastAsia" w:ascii="楷体" w:hAnsi="楷体" w:eastAsia="楷体"/>
          <w:szCs w:val="30"/>
        </w:rPr>
        <w:t>（二）前期工作不充分，资金缺口大、项目滞后</w:t>
      </w:r>
      <w:bookmarkEnd w:id="141"/>
      <w:bookmarkEnd w:id="142"/>
      <w:bookmarkEnd w:id="143"/>
    </w:p>
    <w:p>
      <w:pPr>
        <w:spacing w:line="579" w:lineRule="exact"/>
        <w:ind w:firstLine="630" w:firstLineChars="200"/>
        <w:rPr>
          <w:rFonts w:hAnsi="仿宋"/>
          <w:szCs w:val="30"/>
        </w:rPr>
      </w:pPr>
      <w:r>
        <w:rPr>
          <w:rFonts w:hint="eastAsia" w:hAnsi="仿宋"/>
          <w:szCs w:val="30"/>
        </w:rPr>
        <w:t>目前为止项目总投资约9000万元，到位资金无法足额支付已完工项目的工程款，2</w:t>
      </w:r>
      <w:r>
        <w:rPr>
          <w:rFonts w:hAnsi="仿宋"/>
          <w:szCs w:val="30"/>
        </w:rPr>
        <w:t>018</w:t>
      </w:r>
      <w:r>
        <w:rPr>
          <w:rFonts w:hint="eastAsia" w:hAnsi="仿宋"/>
          <w:szCs w:val="30"/>
        </w:rPr>
        <w:t>年县（区）级配套资金仅到位</w:t>
      </w:r>
      <w:r>
        <w:rPr>
          <w:rFonts w:hAnsi="仿宋"/>
          <w:szCs w:val="30"/>
        </w:rPr>
        <w:t>39.45</w:t>
      </w:r>
      <w:r>
        <w:rPr>
          <w:rFonts w:hint="eastAsia" w:hAnsi="仿宋"/>
          <w:szCs w:val="30"/>
        </w:rPr>
        <w:t>%，截止评价日，项目缺口资金高达</w:t>
      </w:r>
      <w:r>
        <w:rPr>
          <w:rFonts w:hAnsi="仿宋"/>
          <w:szCs w:val="30"/>
        </w:rPr>
        <w:t>807.33</w:t>
      </w:r>
      <w:r>
        <w:rPr>
          <w:rFonts w:hint="eastAsia" w:hAnsi="仿宋"/>
          <w:szCs w:val="30"/>
        </w:rPr>
        <w:t>万元；项目进度方面，文件要求5</w:t>
      </w:r>
      <w:r>
        <w:rPr>
          <w:rFonts w:hAnsi="仿宋"/>
          <w:szCs w:val="30"/>
        </w:rPr>
        <w:t>0</w:t>
      </w:r>
      <w:r>
        <w:rPr>
          <w:rFonts w:hint="eastAsia" w:hAnsi="仿宋"/>
          <w:szCs w:val="30"/>
        </w:rPr>
        <w:t>天的工期，实际工期超出原定工期成几何倍数，截止评价日，项目实施工期已达</w:t>
      </w:r>
      <w:r>
        <w:rPr>
          <w:rFonts w:hAnsi="仿宋"/>
          <w:szCs w:val="30"/>
        </w:rPr>
        <w:t>577</w:t>
      </w:r>
      <w:r>
        <w:rPr>
          <w:rFonts w:hint="eastAsia" w:hAnsi="仿宋"/>
          <w:szCs w:val="30"/>
        </w:rPr>
        <w:t>天，但项目完成率仅为75%；实际项目建设效果与“日日有花开、月月有特色、季季有变化”的建设目标差距甚远。项目前期工作准备不充分，项目实施计划与预期目标存在脱节，是导致项目实施进度滞后、资金缺口大的主要原因。根据《政府投资条例》第九条，政府采取直接投资方式、资本金注入方式投资的项目（以下统称政府投资项目），项目单位应当编制项目建议书</w:t>
      </w:r>
      <w:r>
        <w:rPr>
          <w:rStyle w:val="22"/>
          <w:rFonts w:hAnsi="仿宋"/>
          <w:szCs w:val="30"/>
        </w:rPr>
        <w:footnoteReference w:id="0"/>
      </w:r>
      <w:r>
        <w:rPr>
          <w:rFonts w:hint="eastAsia" w:hAnsi="仿宋"/>
          <w:szCs w:val="30"/>
        </w:rPr>
        <w:t>、可行性研究报告、初步设计，按照政府投资管理权限和规定的程序，报投资主管部门或者其他有关部门审批。通过实地评价发现，本项目未编制项目建议书及可行性研究报告，仅编制项目的初步设计及投资概算；项目实施前，项目实施方案完整性，实施进度安排科学性，资金筹措合理性是项目顺利开展的基础条件，但该项目此类保障机制均不够完善。</w:t>
      </w:r>
    </w:p>
    <w:p>
      <w:pPr>
        <w:spacing w:line="579" w:lineRule="exact"/>
        <w:ind w:firstLine="632"/>
        <w:outlineLvl w:val="1"/>
        <w:rPr>
          <w:rFonts w:ascii="楷体" w:hAnsi="楷体" w:eastAsia="楷体"/>
          <w:szCs w:val="30"/>
        </w:rPr>
      </w:pPr>
      <w:bookmarkStart w:id="144" w:name="_Toc3138_WPSOffice_Level2"/>
      <w:bookmarkStart w:id="145" w:name="_Toc5060_WPSOffice_Level2"/>
      <w:bookmarkStart w:id="146" w:name="_Toc18250895"/>
      <w:r>
        <w:rPr>
          <w:rFonts w:hint="eastAsia" w:ascii="楷体" w:hAnsi="楷体" w:eastAsia="楷体"/>
          <w:szCs w:val="30"/>
        </w:rPr>
        <w:t>（三）建成内容与批复相差较大，过程管理不尽规范</w:t>
      </w:r>
      <w:bookmarkEnd w:id="144"/>
      <w:bookmarkEnd w:id="145"/>
      <w:bookmarkEnd w:id="146"/>
    </w:p>
    <w:p>
      <w:pPr>
        <w:spacing w:line="579" w:lineRule="exact"/>
        <w:ind w:firstLine="630" w:firstLineChars="200"/>
        <w:rPr>
          <w:rFonts w:hAnsi="仿宋"/>
          <w:szCs w:val="30"/>
        </w:rPr>
      </w:pPr>
      <w:r>
        <w:rPr>
          <w:rFonts w:hint="eastAsia" w:hAnsi="仿宋"/>
          <w:szCs w:val="30"/>
        </w:rPr>
        <w:t>截止评价日，项目四个标段中仍有一个标段未实施，且完成的三个标段中建成内容与批复内容差距较大，包括建设的类别、数量等，如批复中护栏容器、中央隔离栏未实施。并且这类变更没有相应的变更手续，不符合《政府投资条例》中第二十一条“</w:t>
      </w:r>
      <w:r>
        <w:rPr>
          <w:rFonts w:hint="eastAsia"/>
          <w:color w:val="333333"/>
          <w:shd w:val="clear" w:color="auto" w:fill="FFFFFF"/>
        </w:rPr>
        <w:t>政府投资项目应当按照投资主管部门或者其他有关部门批准的建设地点、建设规模和建设内容实施；拟变更建设地点或者拟对建设规模、建设内容等作较大变更的，应当按照规定的程序报原审批部门审批”之规定。项目建设过程管理不够规范，对项目总投资控制、建设目标、实施效果等方面产生不良影响。</w:t>
      </w:r>
    </w:p>
    <w:p>
      <w:pPr>
        <w:spacing w:line="579" w:lineRule="exact"/>
        <w:ind w:firstLine="632"/>
        <w:outlineLvl w:val="1"/>
        <w:rPr>
          <w:rFonts w:ascii="楷体" w:hAnsi="楷体" w:eastAsia="楷体"/>
          <w:szCs w:val="30"/>
        </w:rPr>
      </w:pPr>
      <w:bookmarkStart w:id="147" w:name="_Toc18250896"/>
      <w:bookmarkStart w:id="148" w:name="_Toc3567_WPSOffice_Level2"/>
      <w:bookmarkStart w:id="149" w:name="_Toc523_WPSOffice_Level2"/>
      <w:r>
        <w:rPr>
          <w:rFonts w:hint="eastAsia" w:ascii="楷体" w:hAnsi="楷体" w:eastAsia="楷体"/>
          <w:szCs w:val="30"/>
        </w:rPr>
        <w:t>（四）预算绩效管理水平有待提高</w:t>
      </w:r>
      <w:bookmarkEnd w:id="147"/>
      <w:bookmarkEnd w:id="148"/>
      <w:bookmarkEnd w:id="149"/>
    </w:p>
    <w:p>
      <w:pPr>
        <w:spacing w:line="579" w:lineRule="exact"/>
        <w:ind w:firstLine="630" w:firstLineChars="200"/>
        <w:rPr>
          <w:rFonts w:hAnsi="仿宋"/>
          <w:szCs w:val="30"/>
        </w:rPr>
      </w:pPr>
      <w:r>
        <w:rPr>
          <w:rFonts w:hint="eastAsia" w:hAnsi="仿宋"/>
          <w:szCs w:val="30"/>
        </w:rPr>
        <w:t>项目绩效管理水平不高，主要表现在以下几个方面：一是项目资金申请中没有配套相应绩效目标，对项目建成后所需达到的产出、效果不明确；二是项目宏观目标与资金量不匹配，项目批复资金仅能满足项目实施完成，要想达到“日日有花开、月月有特色、季季有变化”的“花城”景观效果需要大量后续维护及管养工作；三是未严格按照要求开展绩效自评工作，自评报告得分为满分与项目实施实际情况不相符，且未及时上报项目自评报告。</w:t>
      </w:r>
    </w:p>
    <w:p>
      <w:pPr>
        <w:spacing w:line="579" w:lineRule="exact"/>
        <w:ind w:firstLine="630" w:firstLineChars="200"/>
        <w:outlineLvl w:val="0"/>
        <w:rPr>
          <w:rFonts w:ascii="黑体" w:hAnsi="宋体" w:eastAsia="黑体" w:cs="宋体"/>
          <w:szCs w:val="30"/>
        </w:rPr>
      </w:pPr>
      <w:bookmarkStart w:id="150" w:name="_Toc18250897"/>
      <w:bookmarkStart w:id="151" w:name="_Toc10587_WPSOffice_Level1"/>
      <w:bookmarkStart w:id="152" w:name="_Toc10803_WPSOffice_Level1"/>
      <w:r>
        <w:rPr>
          <w:rFonts w:hint="eastAsia" w:ascii="黑体" w:hAnsi="宋体" w:eastAsia="黑体" w:cs="宋体"/>
          <w:szCs w:val="30"/>
        </w:rPr>
        <w:t>八、建议</w:t>
      </w:r>
      <w:bookmarkEnd w:id="150"/>
      <w:bookmarkEnd w:id="151"/>
      <w:bookmarkEnd w:id="152"/>
    </w:p>
    <w:p>
      <w:pPr>
        <w:spacing w:line="579" w:lineRule="exact"/>
        <w:ind w:firstLine="632"/>
        <w:outlineLvl w:val="1"/>
        <w:rPr>
          <w:rFonts w:ascii="楷体" w:hAnsi="楷体" w:eastAsia="楷体"/>
          <w:szCs w:val="30"/>
        </w:rPr>
      </w:pPr>
      <w:bookmarkStart w:id="153" w:name="_Toc30189_WPSOffice_Level2"/>
      <w:bookmarkStart w:id="154" w:name="_Toc11125_WPSOffice_Level2"/>
      <w:bookmarkStart w:id="155" w:name="_Toc18250898"/>
      <w:r>
        <w:rPr>
          <w:rFonts w:hint="eastAsia" w:ascii="楷体" w:hAnsi="楷体" w:eastAsia="楷体"/>
          <w:szCs w:val="30"/>
        </w:rPr>
        <w:t>（一）制度先行，压实责任</w:t>
      </w:r>
      <w:bookmarkEnd w:id="153"/>
      <w:bookmarkEnd w:id="154"/>
      <w:bookmarkEnd w:id="155"/>
    </w:p>
    <w:p>
      <w:pPr>
        <w:ind w:firstLine="630" w:firstLineChars="200"/>
        <w:rPr>
          <w:color w:val="333333"/>
          <w:shd w:val="clear" w:color="auto" w:fill="FFFFFF"/>
        </w:rPr>
      </w:pPr>
      <w:r>
        <w:rPr>
          <w:rFonts w:hint="eastAsia"/>
          <w:color w:val="333333"/>
          <w:shd w:val="clear" w:color="auto" w:fill="FFFFFF"/>
        </w:rPr>
        <w:t>项目建设仍有一个标段刚开始施工，项目整体建设资金缺口仍然存在，对于建成管护更是一个长期工作，为满足今后项目建设及管护需求，建设主管部门应根据项目实际情况，结合各单位职能职责建立相关制度，必要时报上级部门审批，明确建设相关方、明确各方职责，压实各方责任，保障项目后续工作顺利开展。</w:t>
      </w:r>
    </w:p>
    <w:p>
      <w:pPr>
        <w:spacing w:line="579" w:lineRule="exact"/>
        <w:ind w:firstLine="632"/>
        <w:outlineLvl w:val="1"/>
        <w:rPr>
          <w:rFonts w:ascii="楷体" w:hAnsi="楷体" w:eastAsia="楷体"/>
          <w:szCs w:val="30"/>
        </w:rPr>
      </w:pPr>
      <w:bookmarkStart w:id="156" w:name="_Toc18250899"/>
      <w:bookmarkStart w:id="157" w:name="_Toc15829_WPSOffice_Level2"/>
      <w:bookmarkStart w:id="158" w:name="_Toc21098_WPSOffice_Level2"/>
      <w:r>
        <w:rPr>
          <w:rFonts w:hint="eastAsia" w:ascii="楷体" w:hAnsi="楷体" w:eastAsia="楷体"/>
          <w:szCs w:val="30"/>
        </w:rPr>
        <w:t>（二）加强项目前期工作，保障项目实施效果</w:t>
      </w:r>
      <w:bookmarkEnd w:id="156"/>
      <w:bookmarkEnd w:id="157"/>
      <w:bookmarkEnd w:id="158"/>
    </w:p>
    <w:p>
      <w:pPr>
        <w:ind w:firstLine="630" w:firstLineChars="200"/>
        <w:rPr>
          <w:color w:val="333333"/>
          <w:shd w:val="clear" w:color="auto" w:fill="FFFFFF"/>
        </w:rPr>
      </w:pPr>
      <w:r>
        <w:rPr>
          <w:rFonts w:hint="eastAsia"/>
          <w:color w:val="333333"/>
          <w:shd w:val="clear" w:color="auto" w:fill="FFFFFF"/>
        </w:rPr>
        <w:t>一是针对未实施标段，项目单位应当加强项目的前期工作，保证前期工作深度达到规定的要求，合理评估项目资金来源、实施可行性、项目预期效果等方面；二是针对已实施项目，应尽快明确资金缺口解决方式，保障政府公信力。</w:t>
      </w:r>
    </w:p>
    <w:p>
      <w:pPr>
        <w:spacing w:line="579" w:lineRule="exact"/>
        <w:ind w:firstLine="632"/>
        <w:outlineLvl w:val="1"/>
        <w:rPr>
          <w:rFonts w:ascii="楷体" w:hAnsi="楷体" w:eastAsia="楷体"/>
          <w:szCs w:val="30"/>
        </w:rPr>
      </w:pPr>
      <w:bookmarkStart w:id="159" w:name="_Toc20905_WPSOffice_Level2"/>
      <w:bookmarkStart w:id="160" w:name="_Toc13347_WPSOffice_Level2"/>
      <w:bookmarkStart w:id="161" w:name="_Toc18250900"/>
      <w:r>
        <w:rPr>
          <w:rFonts w:hint="eastAsia" w:ascii="楷体" w:hAnsi="楷体" w:eastAsia="楷体"/>
          <w:szCs w:val="30"/>
        </w:rPr>
        <w:t>（三）强化过程管理，规范项目实施</w:t>
      </w:r>
      <w:bookmarkEnd w:id="159"/>
      <w:bookmarkEnd w:id="160"/>
      <w:bookmarkEnd w:id="161"/>
    </w:p>
    <w:p>
      <w:pPr>
        <w:ind w:firstLine="630" w:firstLineChars="200"/>
        <w:rPr>
          <w:color w:val="333333"/>
          <w:shd w:val="clear" w:color="auto" w:fill="FFFFFF"/>
        </w:rPr>
      </w:pPr>
      <w:r>
        <w:rPr>
          <w:rFonts w:hint="eastAsia"/>
          <w:color w:val="333333"/>
          <w:shd w:val="clear" w:color="auto" w:fill="FFFFFF"/>
        </w:rPr>
        <w:t>工作前移，实现科学计划管理，加强可研与初设的衔接，充分发挥各方在项目建设中的核心作用。在项目确定后，对可研阶段的规模、资金等方面重点评审，更多从工程实施角度进行论证，使方案更加可行、可操作，减少实施过程中的不断变更，确因项目建设需求需要变更的应当按规定报批。</w:t>
      </w:r>
    </w:p>
    <w:p>
      <w:pPr>
        <w:spacing w:line="579" w:lineRule="exact"/>
        <w:ind w:firstLine="632"/>
        <w:outlineLvl w:val="1"/>
        <w:rPr>
          <w:rFonts w:ascii="楷体" w:hAnsi="楷体" w:eastAsia="楷体"/>
          <w:szCs w:val="30"/>
        </w:rPr>
      </w:pPr>
      <w:bookmarkStart w:id="162" w:name="_Toc18250901"/>
      <w:bookmarkStart w:id="163" w:name="_Toc2716_WPSOffice_Level2"/>
      <w:bookmarkStart w:id="164" w:name="_Toc20983_WPSOffice_Level2"/>
      <w:r>
        <w:rPr>
          <w:rFonts w:hint="eastAsia" w:ascii="楷体" w:hAnsi="楷体" w:eastAsia="楷体"/>
          <w:szCs w:val="30"/>
        </w:rPr>
        <w:t>（四）强化预算绩效管理意识，提高预算绩效管理水平</w:t>
      </w:r>
      <w:bookmarkEnd w:id="162"/>
      <w:bookmarkEnd w:id="163"/>
      <w:bookmarkEnd w:id="164"/>
    </w:p>
    <w:p>
      <w:pPr>
        <w:ind w:firstLine="630" w:firstLineChars="200"/>
        <w:rPr>
          <w:color w:val="333333"/>
          <w:shd w:val="clear" w:color="auto" w:fill="FFFFFF"/>
        </w:rPr>
      </w:pPr>
      <w:r>
        <w:rPr>
          <w:rFonts w:hint="eastAsia"/>
          <w:color w:val="333333"/>
          <w:shd w:val="clear" w:color="auto" w:fill="FFFFFF"/>
        </w:rPr>
        <w:t>在财政收支矛盾突出的现实背景下，部门要提高预算绩效管理意识，切实发挥预算目标引领和结果导向的作用，在资金申请阶段明确项目绩效目标，准确测算预算资金，按照“绩效有目标、测算有标准”的基本原则进行项目立项；部门绩效管理要做到实事求是、贴合实际，结合实际情况进行跟踪管理以及绩效自评，保障项目绩效目标的实现，为社会提供更好的公共服务产品。</w:t>
      </w:r>
    </w:p>
    <w:p>
      <w:pPr>
        <w:spacing w:line="579" w:lineRule="exact"/>
        <w:ind w:firstLine="630" w:firstLineChars="200"/>
        <w:rPr>
          <w:rFonts w:ascii="黑体" w:hAnsi="宋体" w:eastAsia="黑体" w:cs="宋体"/>
          <w:szCs w:val="30"/>
        </w:rPr>
      </w:pPr>
    </w:p>
    <w:p>
      <w:pPr>
        <w:spacing w:line="590" w:lineRule="exact"/>
        <w:ind w:left="2154" w:leftChars="284" w:hanging="1260" w:hangingChars="400"/>
        <w:rPr>
          <w:rFonts w:ascii="仿宋_GB2312" w:hAnsi="黑体" w:eastAsia="仿宋_GB2312"/>
          <w:spacing w:val="6"/>
          <w:szCs w:val="30"/>
        </w:rPr>
      </w:pPr>
      <w:bookmarkStart w:id="165" w:name="_Hlk525314575"/>
      <w:bookmarkStart w:id="166" w:name="_Toc26191_WPSOffice_Level1"/>
      <w:bookmarkStart w:id="167" w:name="_Toc12751_WPSOffice_Level1"/>
      <w:r>
        <w:rPr>
          <w:rFonts w:hint="eastAsia" w:hAnsi="仿宋"/>
          <w:szCs w:val="30"/>
        </w:rPr>
        <w:t>附件：</w:t>
      </w:r>
      <w:bookmarkEnd w:id="165"/>
      <w:r>
        <w:rPr>
          <w:rFonts w:hint="eastAsia" w:ascii="仿宋_GB2312" w:hAnsi="黑体" w:eastAsia="仿宋_GB2312"/>
          <w:szCs w:val="30"/>
        </w:rPr>
        <w:t>1.2019绩效再评价指标体系及评分表；</w:t>
      </w:r>
      <w:bookmarkEnd w:id="166"/>
      <w:bookmarkEnd w:id="167"/>
    </w:p>
    <w:p>
      <w:pPr>
        <w:ind w:left="1890" w:leftChars="600"/>
        <w:rPr>
          <w:rFonts w:ascii="仿宋_GB2312" w:hAnsi="黑体" w:eastAsia="仿宋_GB2312"/>
          <w:szCs w:val="30"/>
        </w:rPr>
      </w:pPr>
      <w:bookmarkStart w:id="168" w:name="_Toc31814_WPSOffice_Level1"/>
      <w:bookmarkStart w:id="169" w:name="_Toc27717_WPSOffice_Level1"/>
      <w:r>
        <w:rPr>
          <w:rFonts w:ascii="仿宋_GB2312" w:hAnsi="黑体" w:eastAsia="仿宋_GB2312"/>
          <w:szCs w:val="30"/>
        </w:rPr>
        <w:t>2.</w:t>
      </w:r>
      <w:r>
        <w:rPr>
          <w:rFonts w:hint="eastAsia" w:ascii="仿宋_GB2312" w:hAnsi="黑体" w:eastAsia="仿宋_GB2312"/>
          <w:szCs w:val="30"/>
        </w:rPr>
        <w:t>资金情况统计表；</w:t>
      </w:r>
      <w:bookmarkEnd w:id="168"/>
    </w:p>
    <w:p>
      <w:pPr>
        <w:ind w:left="1890" w:leftChars="600"/>
        <w:rPr>
          <w:rFonts w:ascii="仿宋_GB2312" w:hAnsi="黑体" w:eastAsia="仿宋_GB2312"/>
          <w:szCs w:val="30"/>
        </w:rPr>
      </w:pPr>
      <w:bookmarkStart w:id="170" w:name="_Toc18990_WPSOffice_Level1"/>
      <w:r>
        <w:rPr>
          <w:rFonts w:hint="eastAsia" w:ascii="仿宋_GB2312" w:hAnsi="黑体" w:eastAsia="仿宋_GB2312"/>
          <w:szCs w:val="30"/>
        </w:rPr>
        <w:t>3.问卷调查统计表。</w:t>
      </w:r>
      <w:bookmarkEnd w:id="169"/>
      <w:bookmarkEnd w:id="170"/>
    </w:p>
    <w:p>
      <w:pPr>
        <w:spacing w:line="579" w:lineRule="exact"/>
        <w:ind w:firstLine="630" w:firstLineChars="200"/>
        <w:rPr>
          <w:rFonts w:hAnsi="仿宋"/>
          <w:szCs w:val="30"/>
        </w:rPr>
      </w:pPr>
    </w:p>
    <w:sectPr>
      <w:footerReference r:id="rId8" w:type="default"/>
      <w:footerReference r:id="rId9" w:type="even"/>
      <w:type w:val="oddPage"/>
      <w:pgSz w:w="11906" w:h="16838"/>
      <w:pgMar w:top="2098" w:right="1474" w:bottom="1985" w:left="1588" w:header="851" w:footer="1474" w:gutter="0"/>
      <w:pgNumType w:start="1"/>
      <w:cols w:space="425" w:num="1"/>
      <w:docGrid w:type="linesAndChars" w:linePitch="579" w:charSpace="32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rPr>
        <w:rFonts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iii</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right"/>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ascii="宋体" w:hAnsi="宋体" w:eastAsia="宋体"/>
        <w:sz w:val="28"/>
        <w:szCs w:val="28"/>
      </w:rPr>
    </w:pPr>
    <w:r>
      <w:rPr>
        <w:rFonts w:hint="eastAsia" w:ascii="宋体" w:hAnsi="宋体" w:eastAsia="宋体"/>
        <w:sz w:val="28"/>
        <w:szCs w:val="28"/>
      </w:rPr>
      <w:t xml:space="preserve">— </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rPr>
      <w:t>2</w:t>
    </w:r>
    <w:r>
      <w:rPr>
        <w:rFonts w:ascii="宋体" w:hAnsi="宋体" w:eastAsia="宋体"/>
        <w:sz w:val="28"/>
        <w:szCs w:val="28"/>
      </w:rPr>
      <w:fldChar w:fldCharType="end"/>
    </w:r>
    <w:r>
      <w:rPr>
        <w:rFonts w:ascii="宋体" w:hAnsi="宋体" w:eastAsia="宋体"/>
        <w:sz w:val="28"/>
        <w:szCs w:val="28"/>
      </w:rPr>
      <w:t xml:space="preserve"> </w:t>
    </w:r>
    <w:r>
      <w:rPr>
        <w:rFonts w:hint="eastAsia" w:ascii="宋体" w:hAnsi="宋体" w:eastAsia="宋体"/>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3"/>
      </w:pPr>
      <w:r>
        <w:rPr>
          <w:rStyle w:val="22"/>
        </w:rPr>
        <w:footnoteRef/>
      </w:r>
      <w:r>
        <w:t xml:space="preserve"> </w:t>
      </w:r>
      <w:r>
        <w:rPr>
          <w:rFonts w:hint="eastAsia"/>
        </w:rPr>
        <w:t>项目建议书主要反映的是项目建设的必要性，可行性研究报告分析的项目的技术经济可行性、社会效益以及项目资金等主要建设条件的落实情况。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bordersDoNotSurroundHeader w:val="1"/>
  <w:bordersDoNotSurroundFooter w:val="1"/>
  <w:documentProtection w:enforcement="0"/>
  <w:defaultTabStop w:val="420"/>
  <w:evenAndOddHeaders w:val="1"/>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D8D"/>
    <w:rsid w:val="000027B8"/>
    <w:rsid w:val="00003457"/>
    <w:rsid w:val="000053D4"/>
    <w:rsid w:val="000101DC"/>
    <w:rsid w:val="000109E6"/>
    <w:rsid w:val="00011162"/>
    <w:rsid w:val="00012AF7"/>
    <w:rsid w:val="000163D2"/>
    <w:rsid w:val="00021B6D"/>
    <w:rsid w:val="00022FFA"/>
    <w:rsid w:val="000239EF"/>
    <w:rsid w:val="00023FF0"/>
    <w:rsid w:val="000302F4"/>
    <w:rsid w:val="00030BA6"/>
    <w:rsid w:val="00032A27"/>
    <w:rsid w:val="00032BAE"/>
    <w:rsid w:val="000377E6"/>
    <w:rsid w:val="00037F46"/>
    <w:rsid w:val="0004014B"/>
    <w:rsid w:val="00044EEC"/>
    <w:rsid w:val="00046291"/>
    <w:rsid w:val="00046463"/>
    <w:rsid w:val="00046B33"/>
    <w:rsid w:val="00050813"/>
    <w:rsid w:val="00055268"/>
    <w:rsid w:val="00060B08"/>
    <w:rsid w:val="00073C73"/>
    <w:rsid w:val="00074ED9"/>
    <w:rsid w:val="00075402"/>
    <w:rsid w:val="00075831"/>
    <w:rsid w:val="000761D2"/>
    <w:rsid w:val="00077515"/>
    <w:rsid w:val="0008006D"/>
    <w:rsid w:val="000813E9"/>
    <w:rsid w:val="0008270C"/>
    <w:rsid w:val="00082DC6"/>
    <w:rsid w:val="0008305B"/>
    <w:rsid w:val="00090D9A"/>
    <w:rsid w:val="000910C9"/>
    <w:rsid w:val="000913F5"/>
    <w:rsid w:val="000926D7"/>
    <w:rsid w:val="00093656"/>
    <w:rsid w:val="0009413D"/>
    <w:rsid w:val="00095539"/>
    <w:rsid w:val="000A3ED9"/>
    <w:rsid w:val="000A4562"/>
    <w:rsid w:val="000A60AC"/>
    <w:rsid w:val="000B069B"/>
    <w:rsid w:val="000C04DE"/>
    <w:rsid w:val="000C0984"/>
    <w:rsid w:val="000C1909"/>
    <w:rsid w:val="000C3CE0"/>
    <w:rsid w:val="000C5033"/>
    <w:rsid w:val="000D1074"/>
    <w:rsid w:val="000D13D8"/>
    <w:rsid w:val="000D71DD"/>
    <w:rsid w:val="000E21D8"/>
    <w:rsid w:val="000E6F75"/>
    <w:rsid w:val="000F1534"/>
    <w:rsid w:val="000F3E60"/>
    <w:rsid w:val="000F46ED"/>
    <w:rsid w:val="000F6595"/>
    <w:rsid w:val="000F789E"/>
    <w:rsid w:val="00106A8B"/>
    <w:rsid w:val="001075E2"/>
    <w:rsid w:val="001114F0"/>
    <w:rsid w:val="00111CF0"/>
    <w:rsid w:val="00114580"/>
    <w:rsid w:val="001146BA"/>
    <w:rsid w:val="00116445"/>
    <w:rsid w:val="00122084"/>
    <w:rsid w:val="00122361"/>
    <w:rsid w:val="00124836"/>
    <w:rsid w:val="00124FFE"/>
    <w:rsid w:val="00125D9C"/>
    <w:rsid w:val="001275FD"/>
    <w:rsid w:val="001308E4"/>
    <w:rsid w:val="0013407E"/>
    <w:rsid w:val="001359C1"/>
    <w:rsid w:val="00142242"/>
    <w:rsid w:val="001439E1"/>
    <w:rsid w:val="00147856"/>
    <w:rsid w:val="00147F84"/>
    <w:rsid w:val="00150F3E"/>
    <w:rsid w:val="001513E5"/>
    <w:rsid w:val="00152B2B"/>
    <w:rsid w:val="0015358C"/>
    <w:rsid w:val="001537D8"/>
    <w:rsid w:val="00153BC6"/>
    <w:rsid w:val="00155A7C"/>
    <w:rsid w:val="00156366"/>
    <w:rsid w:val="00157E96"/>
    <w:rsid w:val="0016290B"/>
    <w:rsid w:val="00162B90"/>
    <w:rsid w:val="00163C06"/>
    <w:rsid w:val="00165C46"/>
    <w:rsid w:val="00165E89"/>
    <w:rsid w:val="00167E57"/>
    <w:rsid w:val="001722F7"/>
    <w:rsid w:val="001738BA"/>
    <w:rsid w:val="00175976"/>
    <w:rsid w:val="00182613"/>
    <w:rsid w:val="001836BB"/>
    <w:rsid w:val="00183750"/>
    <w:rsid w:val="00183D89"/>
    <w:rsid w:val="001844AE"/>
    <w:rsid w:val="00184577"/>
    <w:rsid w:val="0018788E"/>
    <w:rsid w:val="001905A5"/>
    <w:rsid w:val="00194C55"/>
    <w:rsid w:val="001A2410"/>
    <w:rsid w:val="001A2D6F"/>
    <w:rsid w:val="001A644B"/>
    <w:rsid w:val="001A77EE"/>
    <w:rsid w:val="001A7B0F"/>
    <w:rsid w:val="001B4784"/>
    <w:rsid w:val="001C579A"/>
    <w:rsid w:val="001D2251"/>
    <w:rsid w:val="001D4295"/>
    <w:rsid w:val="001D4E03"/>
    <w:rsid w:val="001D58D7"/>
    <w:rsid w:val="001E07CC"/>
    <w:rsid w:val="001E15A6"/>
    <w:rsid w:val="001E410D"/>
    <w:rsid w:val="001E6E29"/>
    <w:rsid w:val="001E713D"/>
    <w:rsid w:val="001F1285"/>
    <w:rsid w:val="001F1844"/>
    <w:rsid w:val="001F1E4B"/>
    <w:rsid w:val="001F3638"/>
    <w:rsid w:val="001F46E7"/>
    <w:rsid w:val="001F566D"/>
    <w:rsid w:val="001F5C22"/>
    <w:rsid w:val="00200263"/>
    <w:rsid w:val="00201C2D"/>
    <w:rsid w:val="002115B2"/>
    <w:rsid w:val="00212204"/>
    <w:rsid w:val="00212FA7"/>
    <w:rsid w:val="00217869"/>
    <w:rsid w:val="0021797F"/>
    <w:rsid w:val="00217AA8"/>
    <w:rsid w:val="002229E2"/>
    <w:rsid w:val="0022365E"/>
    <w:rsid w:val="00223987"/>
    <w:rsid w:val="002260C9"/>
    <w:rsid w:val="00226E95"/>
    <w:rsid w:val="00227678"/>
    <w:rsid w:val="00227EAF"/>
    <w:rsid w:val="00230719"/>
    <w:rsid w:val="00230C67"/>
    <w:rsid w:val="0023304B"/>
    <w:rsid w:val="00235C5D"/>
    <w:rsid w:val="002422DC"/>
    <w:rsid w:val="0024297E"/>
    <w:rsid w:val="00243F53"/>
    <w:rsid w:val="00246276"/>
    <w:rsid w:val="00251346"/>
    <w:rsid w:val="002518CA"/>
    <w:rsid w:val="00252115"/>
    <w:rsid w:val="00252898"/>
    <w:rsid w:val="002532A4"/>
    <w:rsid w:val="002534FA"/>
    <w:rsid w:val="00254804"/>
    <w:rsid w:val="00254B91"/>
    <w:rsid w:val="002554E5"/>
    <w:rsid w:val="002567E0"/>
    <w:rsid w:val="00256D4E"/>
    <w:rsid w:val="002606F4"/>
    <w:rsid w:val="00274648"/>
    <w:rsid w:val="00276F50"/>
    <w:rsid w:val="00277ACC"/>
    <w:rsid w:val="00282CC8"/>
    <w:rsid w:val="00283F38"/>
    <w:rsid w:val="002844A0"/>
    <w:rsid w:val="00285265"/>
    <w:rsid w:val="00290595"/>
    <w:rsid w:val="002917E5"/>
    <w:rsid w:val="00292D25"/>
    <w:rsid w:val="0029356B"/>
    <w:rsid w:val="002A020A"/>
    <w:rsid w:val="002A1DF7"/>
    <w:rsid w:val="002A27A1"/>
    <w:rsid w:val="002A380D"/>
    <w:rsid w:val="002A5AD2"/>
    <w:rsid w:val="002A6EAA"/>
    <w:rsid w:val="002B22E9"/>
    <w:rsid w:val="002B3F00"/>
    <w:rsid w:val="002B7B5E"/>
    <w:rsid w:val="002C46F4"/>
    <w:rsid w:val="002C555C"/>
    <w:rsid w:val="002D1D67"/>
    <w:rsid w:val="002D3C45"/>
    <w:rsid w:val="002D498A"/>
    <w:rsid w:val="002D55A2"/>
    <w:rsid w:val="002E06C9"/>
    <w:rsid w:val="002E1041"/>
    <w:rsid w:val="002E280F"/>
    <w:rsid w:val="002E5BDD"/>
    <w:rsid w:val="002E60CA"/>
    <w:rsid w:val="002F4221"/>
    <w:rsid w:val="002F516E"/>
    <w:rsid w:val="002F59F0"/>
    <w:rsid w:val="002F7BE7"/>
    <w:rsid w:val="00301F5D"/>
    <w:rsid w:val="003020B9"/>
    <w:rsid w:val="00307963"/>
    <w:rsid w:val="00307B63"/>
    <w:rsid w:val="003116BB"/>
    <w:rsid w:val="00313C52"/>
    <w:rsid w:val="00321FF5"/>
    <w:rsid w:val="003270CD"/>
    <w:rsid w:val="003305B8"/>
    <w:rsid w:val="0033130B"/>
    <w:rsid w:val="0033489A"/>
    <w:rsid w:val="0033762E"/>
    <w:rsid w:val="0034304B"/>
    <w:rsid w:val="00347579"/>
    <w:rsid w:val="00347950"/>
    <w:rsid w:val="00352F2D"/>
    <w:rsid w:val="00353796"/>
    <w:rsid w:val="00356359"/>
    <w:rsid w:val="003568A8"/>
    <w:rsid w:val="00357576"/>
    <w:rsid w:val="0036565B"/>
    <w:rsid w:val="00365B28"/>
    <w:rsid w:val="00371BB6"/>
    <w:rsid w:val="00371CAA"/>
    <w:rsid w:val="00372888"/>
    <w:rsid w:val="00375AF4"/>
    <w:rsid w:val="003761AE"/>
    <w:rsid w:val="00376534"/>
    <w:rsid w:val="00376A60"/>
    <w:rsid w:val="00380118"/>
    <w:rsid w:val="003807BD"/>
    <w:rsid w:val="00381F0D"/>
    <w:rsid w:val="0038336A"/>
    <w:rsid w:val="00384495"/>
    <w:rsid w:val="00385112"/>
    <w:rsid w:val="00392745"/>
    <w:rsid w:val="00393295"/>
    <w:rsid w:val="003A3987"/>
    <w:rsid w:val="003A5711"/>
    <w:rsid w:val="003A6AB4"/>
    <w:rsid w:val="003B2603"/>
    <w:rsid w:val="003B355C"/>
    <w:rsid w:val="003B5FE1"/>
    <w:rsid w:val="003B6EBD"/>
    <w:rsid w:val="003B74B5"/>
    <w:rsid w:val="003C1480"/>
    <w:rsid w:val="003C6CFA"/>
    <w:rsid w:val="003D112A"/>
    <w:rsid w:val="003D12B5"/>
    <w:rsid w:val="003D2021"/>
    <w:rsid w:val="003D2104"/>
    <w:rsid w:val="003D35C0"/>
    <w:rsid w:val="003D6830"/>
    <w:rsid w:val="003E0E49"/>
    <w:rsid w:val="003E28AB"/>
    <w:rsid w:val="003E37CD"/>
    <w:rsid w:val="003E3857"/>
    <w:rsid w:val="003E523A"/>
    <w:rsid w:val="003F1515"/>
    <w:rsid w:val="003F16E7"/>
    <w:rsid w:val="003F402E"/>
    <w:rsid w:val="003F6354"/>
    <w:rsid w:val="00400D06"/>
    <w:rsid w:val="0040239B"/>
    <w:rsid w:val="00402CE7"/>
    <w:rsid w:val="00405226"/>
    <w:rsid w:val="00405C75"/>
    <w:rsid w:val="00406D6A"/>
    <w:rsid w:val="004139BE"/>
    <w:rsid w:val="00420BEC"/>
    <w:rsid w:val="0042251D"/>
    <w:rsid w:val="00426FE5"/>
    <w:rsid w:val="004272A6"/>
    <w:rsid w:val="00430571"/>
    <w:rsid w:val="0043119F"/>
    <w:rsid w:val="00433CA4"/>
    <w:rsid w:val="00433CAA"/>
    <w:rsid w:val="00436B3B"/>
    <w:rsid w:val="00437980"/>
    <w:rsid w:val="004401ED"/>
    <w:rsid w:val="00440843"/>
    <w:rsid w:val="0044349C"/>
    <w:rsid w:val="004439B6"/>
    <w:rsid w:val="00452585"/>
    <w:rsid w:val="00452895"/>
    <w:rsid w:val="00453319"/>
    <w:rsid w:val="004542C8"/>
    <w:rsid w:val="004549D1"/>
    <w:rsid w:val="00457099"/>
    <w:rsid w:val="0045758B"/>
    <w:rsid w:val="00460E4C"/>
    <w:rsid w:val="004611C7"/>
    <w:rsid w:val="00461CA5"/>
    <w:rsid w:val="00462343"/>
    <w:rsid w:val="00464A91"/>
    <w:rsid w:val="00465B8C"/>
    <w:rsid w:val="00466511"/>
    <w:rsid w:val="004671F2"/>
    <w:rsid w:val="00470C06"/>
    <w:rsid w:val="00472258"/>
    <w:rsid w:val="00474787"/>
    <w:rsid w:val="0048081D"/>
    <w:rsid w:val="0048089A"/>
    <w:rsid w:val="004811D4"/>
    <w:rsid w:val="004829F0"/>
    <w:rsid w:val="004839EA"/>
    <w:rsid w:val="00484612"/>
    <w:rsid w:val="004860CD"/>
    <w:rsid w:val="004866EA"/>
    <w:rsid w:val="004949AC"/>
    <w:rsid w:val="004A0A75"/>
    <w:rsid w:val="004A3DDB"/>
    <w:rsid w:val="004A4700"/>
    <w:rsid w:val="004A711A"/>
    <w:rsid w:val="004A79B2"/>
    <w:rsid w:val="004B168A"/>
    <w:rsid w:val="004B34FB"/>
    <w:rsid w:val="004B3AB7"/>
    <w:rsid w:val="004B448D"/>
    <w:rsid w:val="004C51F5"/>
    <w:rsid w:val="004C5D7B"/>
    <w:rsid w:val="004C6BF0"/>
    <w:rsid w:val="004D0D4D"/>
    <w:rsid w:val="004D128B"/>
    <w:rsid w:val="004D2649"/>
    <w:rsid w:val="004D31B0"/>
    <w:rsid w:val="004D34AD"/>
    <w:rsid w:val="004D5F2D"/>
    <w:rsid w:val="004D678B"/>
    <w:rsid w:val="004E013B"/>
    <w:rsid w:val="004E0906"/>
    <w:rsid w:val="004E5E85"/>
    <w:rsid w:val="004F0288"/>
    <w:rsid w:val="004F0B47"/>
    <w:rsid w:val="004F43AA"/>
    <w:rsid w:val="004F47FC"/>
    <w:rsid w:val="004F5DE3"/>
    <w:rsid w:val="004F6CCC"/>
    <w:rsid w:val="005102A2"/>
    <w:rsid w:val="00510BAB"/>
    <w:rsid w:val="00513B5C"/>
    <w:rsid w:val="00514671"/>
    <w:rsid w:val="00515734"/>
    <w:rsid w:val="00516BC7"/>
    <w:rsid w:val="00517FE2"/>
    <w:rsid w:val="00522A6C"/>
    <w:rsid w:val="00526431"/>
    <w:rsid w:val="00536F5B"/>
    <w:rsid w:val="005401E3"/>
    <w:rsid w:val="00542670"/>
    <w:rsid w:val="00545001"/>
    <w:rsid w:val="00550937"/>
    <w:rsid w:val="00552EE2"/>
    <w:rsid w:val="0055330D"/>
    <w:rsid w:val="00554446"/>
    <w:rsid w:val="005578D6"/>
    <w:rsid w:val="00561795"/>
    <w:rsid w:val="00562BA8"/>
    <w:rsid w:val="0056376A"/>
    <w:rsid w:val="00564552"/>
    <w:rsid w:val="005647B4"/>
    <w:rsid w:val="00566921"/>
    <w:rsid w:val="00570E9D"/>
    <w:rsid w:val="005750C4"/>
    <w:rsid w:val="00576CB6"/>
    <w:rsid w:val="00576FBF"/>
    <w:rsid w:val="00577FAD"/>
    <w:rsid w:val="00585784"/>
    <w:rsid w:val="00587462"/>
    <w:rsid w:val="00587C8D"/>
    <w:rsid w:val="00591EF2"/>
    <w:rsid w:val="00592102"/>
    <w:rsid w:val="00592198"/>
    <w:rsid w:val="0059320E"/>
    <w:rsid w:val="00593411"/>
    <w:rsid w:val="005953FB"/>
    <w:rsid w:val="00597B52"/>
    <w:rsid w:val="005A0B7C"/>
    <w:rsid w:val="005A2E6F"/>
    <w:rsid w:val="005A3998"/>
    <w:rsid w:val="005A50E5"/>
    <w:rsid w:val="005A6EF5"/>
    <w:rsid w:val="005B0482"/>
    <w:rsid w:val="005B6066"/>
    <w:rsid w:val="005B70F0"/>
    <w:rsid w:val="005B78A9"/>
    <w:rsid w:val="005C40D3"/>
    <w:rsid w:val="005D06E4"/>
    <w:rsid w:val="005D132E"/>
    <w:rsid w:val="005D4500"/>
    <w:rsid w:val="005D5CFE"/>
    <w:rsid w:val="005E0F3C"/>
    <w:rsid w:val="005E2165"/>
    <w:rsid w:val="005E4ABD"/>
    <w:rsid w:val="005E6172"/>
    <w:rsid w:val="005F1102"/>
    <w:rsid w:val="006016DB"/>
    <w:rsid w:val="00612994"/>
    <w:rsid w:val="00613763"/>
    <w:rsid w:val="00620526"/>
    <w:rsid w:val="00621602"/>
    <w:rsid w:val="00623AF9"/>
    <w:rsid w:val="006251E6"/>
    <w:rsid w:val="00626208"/>
    <w:rsid w:val="00627439"/>
    <w:rsid w:val="006323C6"/>
    <w:rsid w:val="00634466"/>
    <w:rsid w:val="00636016"/>
    <w:rsid w:val="00636D20"/>
    <w:rsid w:val="00643CC5"/>
    <w:rsid w:val="0064402F"/>
    <w:rsid w:val="006442A8"/>
    <w:rsid w:val="0065445B"/>
    <w:rsid w:val="00655674"/>
    <w:rsid w:val="00656020"/>
    <w:rsid w:val="00656A9A"/>
    <w:rsid w:val="00656F7D"/>
    <w:rsid w:val="006571CA"/>
    <w:rsid w:val="00657FEB"/>
    <w:rsid w:val="006633E2"/>
    <w:rsid w:val="00663BBB"/>
    <w:rsid w:val="00664002"/>
    <w:rsid w:val="00671269"/>
    <w:rsid w:val="00674DB5"/>
    <w:rsid w:val="0067531C"/>
    <w:rsid w:val="00682BA0"/>
    <w:rsid w:val="0068495B"/>
    <w:rsid w:val="00687D46"/>
    <w:rsid w:val="00693295"/>
    <w:rsid w:val="00694B78"/>
    <w:rsid w:val="00694EAF"/>
    <w:rsid w:val="006960BB"/>
    <w:rsid w:val="00696B11"/>
    <w:rsid w:val="006975C6"/>
    <w:rsid w:val="006A28E5"/>
    <w:rsid w:val="006A2942"/>
    <w:rsid w:val="006A2A32"/>
    <w:rsid w:val="006A57DE"/>
    <w:rsid w:val="006A5995"/>
    <w:rsid w:val="006A5FFB"/>
    <w:rsid w:val="006A6752"/>
    <w:rsid w:val="006B40EF"/>
    <w:rsid w:val="006B5BCF"/>
    <w:rsid w:val="006B610A"/>
    <w:rsid w:val="006B70DE"/>
    <w:rsid w:val="006C0244"/>
    <w:rsid w:val="006C0E35"/>
    <w:rsid w:val="006C207E"/>
    <w:rsid w:val="006D012E"/>
    <w:rsid w:val="006D2836"/>
    <w:rsid w:val="006E1981"/>
    <w:rsid w:val="006E260E"/>
    <w:rsid w:val="006E342B"/>
    <w:rsid w:val="006E36CF"/>
    <w:rsid w:val="006E3A23"/>
    <w:rsid w:val="006E76CA"/>
    <w:rsid w:val="006E79B8"/>
    <w:rsid w:val="006F09DA"/>
    <w:rsid w:val="006F29FB"/>
    <w:rsid w:val="00701599"/>
    <w:rsid w:val="00702406"/>
    <w:rsid w:val="00703419"/>
    <w:rsid w:val="00704906"/>
    <w:rsid w:val="00704B20"/>
    <w:rsid w:val="0070532D"/>
    <w:rsid w:val="007061AB"/>
    <w:rsid w:val="00706C0E"/>
    <w:rsid w:val="00707272"/>
    <w:rsid w:val="00711BD6"/>
    <w:rsid w:val="00713C27"/>
    <w:rsid w:val="0071646D"/>
    <w:rsid w:val="00723885"/>
    <w:rsid w:val="007258CC"/>
    <w:rsid w:val="0072647A"/>
    <w:rsid w:val="00726758"/>
    <w:rsid w:val="00727017"/>
    <w:rsid w:val="007319A2"/>
    <w:rsid w:val="00733945"/>
    <w:rsid w:val="00733D12"/>
    <w:rsid w:val="00733E02"/>
    <w:rsid w:val="0073677A"/>
    <w:rsid w:val="007431B7"/>
    <w:rsid w:val="00746DEF"/>
    <w:rsid w:val="007474F3"/>
    <w:rsid w:val="0075085D"/>
    <w:rsid w:val="00751985"/>
    <w:rsid w:val="00752CA1"/>
    <w:rsid w:val="00753514"/>
    <w:rsid w:val="00754346"/>
    <w:rsid w:val="00761379"/>
    <w:rsid w:val="007622C7"/>
    <w:rsid w:val="00763D8D"/>
    <w:rsid w:val="00763F0B"/>
    <w:rsid w:val="007657C4"/>
    <w:rsid w:val="00771DBA"/>
    <w:rsid w:val="00774155"/>
    <w:rsid w:val="00774689"/>
    <w:rsid w:val="00775421"/>
    <w:rsid w:val="00780354"/>
    <w:rsid w:val="00780EAF"/>
    <w:rsid w:val="00780F68"/>
    <w:rsid w:val="00783983"/>
    <w:rsid w:val="007854FB"/>
    <w:rsid w:val="00785C81"/>
    <w:rsid w:val="00786B54"/>
    <w:rsid w:val="00787C28"/>
    <w:rsid w:val="00795893"/>
    <w:rsid w:val="00796558"/>
    <w:rsid w:val="007A024C"/>
    <w:rsid w:val="007A0D31"/>
    <w:rsid w:val="007A1C7C"/>
    <w:rsid w:val="007A2BCD"/>
    <w:rsid w:val="007A474F"/>
    <w:rsid w:val="007A58C0"/>
    <w:rsid w:val="007A6474"/>
    <w:rsid w:val="007A7277"/>
    <w:rsid w:val="007B064B"/>
    <w:rsid w:val="007B2D33"/>
    <w:rsid w:val="007B72C4"/>
    <w:rsid w:val="007C023F"/>
    <w:rsid w:val="007C1423"/>
    <w:rsid w:val="007C2CA2"/>
    <w:rsid w:val="007C38FA"/>
    <w:rsid w:val="007C3BD4"/>
    <w:rsid w:val="007C3CB2"/>
    <w:rsid w:val="007C7E73"/>
    <w:rsid w:val="007D051F"/>
    <w:rsid w:val="007D0BBA"/>
    <w:rsid w:val="007D1F63"/>
    <w:rsid w:val="007D2550"/>
    <w:rsid w:val="007D3332"/>
    <w:rsid w:val="007D333C"/>
    <w:rsid w:val="007D6583"/>
    <w:rsid w:val="007D778F"/>
    <w:rsid w:val="007E0FFD"/>
    <w:rsid w:val="007E18FC"/>
    <w:rsid w:val="007E2D37"/>
    <w:rsid w:val="007E494F"/>
    <w:rsid w:val="007E5BBF"/>
    <w:rsid w:val="007E68BF"/>
    <w:rsid w:val="007E6F2C"/>
    <w:rsid w:val="007E7245"/>
    <w:rsid w:val="007F0B94"/>
    <w:rsid w:val="007F26DD"/>
    <w:rsid w:val="007F2884"/>
    <w:rsid w:val="007F2CFD"/>
    <w:rsid w:val="007F3CED"/>
    <w:rsid w:val="007F5CDC"/>
    <w:rsid w:val="00801696"/>
    <w:rsid w:val="00803FFB"/>
    <w:rsid w:val="00805C6A"/>
    <w:rsid w:val="00807246"/>
    <w:rsid w:val="008126C8"/>
    <w:rsid w:val="00812AFF"/>
    <w:rsid w:val="00814803"/>
    <w:rsid w:val="00814C48"/>
    <w:rsid w:val="008172B8"/>
    <w:rsid w:val="00817BC8"/>
    <w:rsid w:val="00822129"/>
    <w:rsid w:val="00830B7F"/>
    <w:rsid w:val="00832C5F"/>
    <w:rsid w:val="00833991"/>
    <w:rsid w:val="00834B6A"/>
    <w:rsid w:val="008369B8"/>
    <w:rsid w:val="00837E6A"/>
    <w:rsid w:val="008425ED"/>
    <w:rsid w:val="0084288D"/>
    <w:rsid w:val="008429AF"/>
    <w:rsid w:val="008444BD"/>
    <w:rsid w:val="00846B79"/>
    <w:rsid w:val="00851B24"/>
    <w:rsid w:val="00851CF4"/>
    <w:rsid w:val="00851E07"/>
    <w:rsid w:val="00851F54"/>
    <w:rsid w:val="0086630D"/>
    <w:rsid w:val="008667E7"/>
    <w:rsid w:val="008669E1"/>
    <w:rsid w:val="00866AB0"/>
    <w:rsid w:val="00867F1E"/>
    <w:rsid w:val="00870D8D"/>
    <w:rsid w:val="008735D5"/>
    <w:rsid w:val="00873D83"/>
    <w:rsid w:val="008767B4"/>
    <w:rsid w:val="00876A55"/>
    <w:rsid w:val="00877854"/>
    <w:rsid w:val="00882E11"/>
    <w:rsid w:val="00884635"/>
    <w:rsid w:val="008857AD"/>
    <w:rsid w:val="00885EF1"/>
    <w:rsid w:val="00890F31"/>
    <w:rsid w:val="00894889"/>
    <w:rsid w:val="00894CB7"/>
    <w:rsid w:val="00896267"/>
    <w:rsid w:val="00896DBE"/>
    <w:rsid w:val="008A096F"/>
    <w:rsid w:val="008A3471"/>
    <w:rsid w:val="008A5EF0"/>
    <w:rsid w:val="008A76E9"/>
    <w:rsid w:val="008B035B"/>
    <w:rsid w:val="008B4790"/>
    <w:rsid w:val="008C0F64"/>
    <w:rsid w:val="008C134F"/>
    <w:rsid w:val="008C1413"/>
    <w:rsid w:val="008C33C4"/>
    <w:rsid w:val="008C3699"/>
    <w:rsid w:val="008C5190"/>
    <w:rsid w:val="008D007F"/>
    <w:rsid w:val="008D5ECA"/>
    <w:rsid w:val="008D6C00"/>
    <w:rsid w:val="008D7B7E"/>
    <w:rsid w:val="008D7D1F"/>
    <w:rsid w:val="008D7D2E"/>
    <w:rsid w:val="008E077D"/>
    <w:rsid w:val="008E0FBB"/>
    <w:rsid w:val="008E25FF"/>
    <w:rsid w:val="008E70EF"/>
    <w:rsid w:val="008F0F4B"/>
    <w:rsid w:val="008F0F5E"/>
    <w:rsid w:val="008F2F92"/>
    <w:rsid w:val="008F689B"/>
    <w:rsid w:val="00901D0E"/>
    <w:rsid w:val="0090215D"/>
    <w:rsid w:val="009034E6"/>
    <w:rsid w:val="00903ABA"/>
    <w:rsid w:val="00903C2E"/>
    <w:rsid w:val="00906624"/>
    <w:rsid w:val="0090678C"/>
    <w:rsid w:val="00910184"/>
    <w:rsid w:val="00910CE3"/>
    <w:rsid w:val="0091256C"/>
    <w:rsid w:val="009145F0"/>
    <w:rsid w:val="00915330"/>
    <w:rsid w:val="00915956"/>
    <w:rsid w:val="00920E07"/>
    <w:rsid w:val="0092374D"/>
    <w:rsid w:val="00923BAA"/>
    <w:rsid w:val="00924970"/>
    <w:rsid w:val="009267F6"/>
    <w:rsid w:val="009317C0"/>
    <w:rsid w:val="009326BF"/>
    <w:rsid w:val="0093778C"/>
    <w:rsid w:val="0093787B"/>
    <w:rsid w:val="00937BC1"/>
    <w:rsid w:val="009407C7"/>
    <w:rsid w:val="00942C8E"/>
    <w:rsid w:val="0095111A"/>
    <w:rsid w:val="00954F31"/>
    <w:rsid w:val="009565F2"/>
    <w:rsid w:val="009607A3"/>
    <w:rsid w:val="00961330"/>
    <w:rsid w:val="00961BEE"/>
    <w:rsid w:val="00963095"/>
    <w:rsid w:val="00964F1C"/>
    <w:rsid w:val="00965869"/>
    <w:rsid w:val="009672A4"/>
    <w:rsid w:val="0097178E"/>
    <w:rsid w:val="00973859"/>
    <w:rsid w:val="00974A70"/>
    <w:rsid w:val="00974E7C"/>
    <w:rsid w:val="00981A2C"/>
    <w:rsid w:val="00982B62"/>
    <w:rsid w:val="00983C33"/>
    <w:rsid w:val="00983EB5"/>
    <w:rsid w:val="009900E6"/>
    <w:rsid w:val="00990F17"/>
    <w:rsid w:val="00991270"/>
    <w:rsid w:val="009912B5"/>
    <w:rsid w:val="00991437"/>
    <w:rsid w:val="009914DC"/>
    <w:rsid w:val="00992DEA"/>
    <w:rsid w:val="00993E30"/>
    <w:rsid w:val="009A0550"/>
    <w:rsid w:val="009A3DA3"/>
    <w:rsid w:val="009A3DE0"/>
    <w:rsid w:val="009B2564"/>
    <w:rsid w:val="009B4C1C"/>
    <w:rsid w:val="009C07AA"/>
    <w:rsid w:val="009C3ECB"/>
    <w:rsid w:val="009C5FAB"/>
    <w:rsid w:val="009C6BDC"/>
    <w:rsid w:val="009C6D8D"/>
    <w:rsid w:val="009C7DB4"/>
    <w:rsid w:val="009D25F6"/>
    <w:rsid w:val="009D3B4B"/>
    <w:rsid w:val="009D4D5E"/>
    <w:rsid w:val="009D6284"/>
    <w:rsid w:val="009E0BA2"/>
    <w:rsid w:val="009E56D5"/>
    <w:rsid w:val="009E662A"/>
    <w:rsid w:val="009E7A09"/>
    <w:rsid w:val="009F0910"/>
    <w:rsid w:val="009F17BE"/>
    <w:rsid w:val="009F2679"/>
    <w:rsid w:val="009F41F3"/>
    <w:rsid w:val="009F4734"/>
    <w:rsid w:val="00A000D9"/>
    <w:rsid w:val="00A00612"/>
    <w:rsid w:val="00A02D03"/>
    <w:rsid w:val="00A02E94"/>
    <w:rsid w:val="00A057DC"/>
    <w:rsid w:val="00A05AE1"/>
    <w:rsid w:val="00A0725B"/>
    <w:rsid w:val="00A10153"/>
    <w:rsid w:val="00A11EC9"/>
    <w:rsid w:val="00A121FB"/>
    <w:rsid w:val="00A12F69"/>
    <w:rsid w:val="00A13BE9"/>
    <w:rsid w:val="00A17A74"/>
    <w:rsid w:val="00A22A04"/>
    <w:rsid w:val="00A23FCD"/>
    <w:rsid w:val="00A24BBF"/>
    <w:rsid w:val="00A24E49"/>
    <w:rsid w:val="00A25F38"/>
    <w:rsid w:val="00A27411"/>
    <w:rsid w:val="00A27C51"/>
    <w:rsid w:val="00A31048"/>
    <w:rsid w:val="00A33005"/>
    <w:rsid w:val="00A33109"/>
    <w:rsid w:val="00A34C99"/>
    <w:rsid w:val="00A36073"/>
    <w:rsid w:val="00A36910"/>
    <w:rsid w:val="00A370A6"/>
    <w:rsid w:val="00A375F1"/>
    <w:rsid w:val="00A41B24"/>
    <w:rsid w:val="00A43DC7"/>
    <w:rsid w:val="00A444BF"/>
    <w:rsid w:val="00A5152D"/>
    <w:rsid w:val="00A57205"/>
    <w:rsid w:val="00A57436"/>
    <w:rsid w:val="00A605F9"/>
    <w:rsid w:val="00A60E45"/>
    <w:rsid w:val="00A63BA5"/>
    <w:rsid w:val="00A66EE9"/>
    <w:rsid w:val="00A6714F"/>
    <w:rsid w:val="00A7047C"/>
    <w:rsid w:val="00A7287F"/>
    <w:rsid w:val="00A733E4"/>
    <w:rsid w:val="00A73844"/>
    <w:rsid w:val="00A76165"/>
    <w:rsid w:val="00A77E6F"/>
    <w:rsid w:val="00A80D20"/>
    <w:rsid w:val="00A83F2E"/>
    <w:rsid w:val="00A8504E"/>
    <w:rsid w:val="00A85A44"/>
    <w:rsid w:val="00A86EA4"/>
    <w:rsid w:val="00A91A3E"/>
    <w:rsid w:val="00A92139"/>
    <w:rsid w:val="00A95E98"/>
    <w:rsid w:val="00A97041"/>
    <w:rsid w:val="00AA01D4"/>
    <w:rsid w:val="00AA0809"/>
    <w:rsid w:val="00AA2D96"/>
    <w:rsid w:val="00AB0EEC"/>
    <w:rsid w:val="00AB1132"/>
    <w:rsid w:val="00AB312A"/>
    <w:rsid w:val="00AB40D1"/>
    <w:rsid w:val="00AB5B2F"/>
    <w:rsid w:val="00AB738C"/>
    <w:rsid w:val="00AC240E"/>
    <w:rsid w:val="00AC318C"/>
    <w:rsid w:val="00AC3F10"/>
    <w:rsid w:val="00AC42D0"/>
    <w:rsid w:val="00AC5A44"/>
    <w:rsid w:val="00AC66C5"/>
    <w:rsid w:val="00AD1EC1"/>
    <w:rsid w:val="00AD619D"/>
    <w:rsid w:val="00AD641A"/>
    <w:rsid w:val="00AD6AB3"/>
    <w:rsid w:val="00AD6DA0"/>
    <w:rsid w:val="00AD712B"/>
    <w:rsid w:val="00AE0A63"/>
    <w:rsid w:val="00AE1B7C"/>
    <w:rsid w:val="00AE1D02"/>
    <w:rsid w:val="00AE1EF8"/>
    <w:rsid w:val="00AE4EBF"/>
    <w:rsid w:val="00AE73AA"/>
    <w:rsid w:val="00AF0B62"/>
    <w:rsid w:val="00AF63E7"/>
    <w:rsid w:val="00B020FB"/>
    <w:rsid w:val="00B0556F"/>
    <w:rsid w:val="00B06A9C"/>
    <w:rsid w:val="00B07B88"/>
    <w:rsid w:val="00B10C1D"/>
    <w:rsid w:val="00B2516C"/>
    <w:rsid w:val="00B2587E"/>
    <w:rsid w:val="00B26CA0"/>
    <w:rsid w:val="00B300AD"/>
    <w:rsid w:val="00B327D2"/>
    <w:rsid w:val="00B35B22"/>
    <w:rsid w:val="00B36265"/>
    <w:rsid w:val="00B45B74"/>
    <w:rsid w:val="00B53412"/>
    <w:rsid w:val="00B53751"/>
    <w:rsid w:val="00B54DC6"/>
    <w:rsid w:val="00B55B57"/>
    <w:rsid w:val="00B567D7"/>
    <w:rsid w:val="00B57693"/>
    <w:rsid w:val="00B61B4E"/>
    <w:rsid w:val="00B644D0"/>
    <w:rsid w:val="00B70DE9"/>
    <w:rsid w:val="00B74E74"/>
    <w:rsid w:val="00B873B5"/>
    <w:rsid w:val="00B903BB"/>
    <w:rsid w:val="00B93260"/>
    <w:rsid w:val="00B93F28"/>
    <w:rsid w:val="00B9524C"/>
    <w:rsid w:val="00B972CB"/>
    <w:rsid w:val="00BA0653"/>
    <w:rsid w:val="00BA0FD9"/>
    <w:rsid w:val="00BA2517"/>
    <w:rsid w:val="00BA40D9"/>
    <w:rsid w:val="00BA5C0B"/>
    <w:rsid w:val="00BB0BA8"/>
    <w:rsid w:val="00BB37A8"/>
    <w:rsid w:val="00BB6206"/>
    <w:rsid w:val="00BC3AD5"/>
    <w:rsid w:val="00BC66F9"/>
    <w:rsid w:val="00BC6820"/>
    <w:rsid w:val="00BC6C03"/>
    <w:rsid w:val="00BC6F02"/>
    <w:rsid w:val="00BC6F77"/>
    <w:rsid w:val="00BD1031"/>
    <w:rsid w:val="00BD455D"/>
    <w:rsid w:val="00BD4BC9"/>
    <w:rsid w:val="00BE2CD8"/>
    <w:rsid w:val="00BE2E79"/>
    <w:rsid w:val="00BE36D4"/>
    <w:rsid w:val="00BE4487"/>
    <w:rsid w:val="00BF1AF5"/>
    <w:rsid w:val="00BF212F"/>
    <w:rsid w:val="00BF373E"/>
    <w:rsid w:val="00BF3ED8"/>
    <w:rsid w:val="00BF43FA"/>
    <w:rsid w:val="00BF652B"/>
    <w:rsid w:val="00C045BB"/>
    <w:rsid w:val="00C06CB9"/>
    <w:rsid w:val="00C12472"/>
    <w:rsid w:val="00C127E3"/>
    <w:rsid w:val="00C12993"/>
    <w:rsid w:val="00C14194"/>
    <w:rsid w:val="00C142FF"/>
    <w:rsid w:val="00C1562E"/>
    <w:rsid w:val="00C15C47"/>
    <w:rsid w:val="00C20FD7"/>
    <w:rsid w:val="00C21C6A"/>
    <w:rsid w:val="00C222FF"/>
    <w:rsid w:val="00C226BA"/>
    <w:rsid w:val="00C22E98"/>
    <w:rsid w:val="00C25D38"/>
    <w:rsid w:val="00C3203F"/>
    <w:rsid w:val="00C322A8"/>
    <w:rsid w:val="00C342E1"/>
    <w:rsid w:val="00C377A0"/>
    <w:rsid w:val="00C40B0E"/>
    <w:rsid w:val="00C40CCE"/>
    <w:rsid w:val="00C41346"/>
    <w:rsid w:val="00C4210A"/>
    <w:rsid w:val="00C43BD6"/>
    <w:rsid w:val="00C44CA7"/>
    <w:rsid w:val="00C45B16"/>
    <w:rsid w:val="00C45B3F"/>
    <w:rsid w:val="00C45BE7"/>
    <w:rsid w:val="00C45EBD"/>
    <w:rsid w:val="00C466DC"/>
    <w:rsid w:val="00C468DC"/>
    <w:rsid w:val="00C47B12"/>
    <w:rsid w:val="00C47EAD"/>
    <w:rsid w:val="00C534CE"/>
    <w:rsid w:val="00C5415C"/>
    <w:rsid w:val="00C541D9"/>
    <w:rsid w:val="00C62615"/>
    <w:rsid w:val="00C6335B"/>
    <w:rsid w:val="00C63F3D"/>
    <w:rsid w:val="00C645D0"/>
    <w:rsid w:val="00C65119"/>
    <w:rsid w:val="00C67B4F"/>
    <w:rsid w:val="00C71AC0"/>
    <w:rsid w:val="00C72787"/>
    <w:rsid w:val="00C80468"/>
    <w:rsid w:val="00C80E76"/>
    <w:rsid w:val="00C82510"/>
    <w:rsid w:val="00C83288"/>
    <w:rsid w:val="00C83A49"/>
    <w:rsid w:val="00C83C24"/>
    <w:rsid w:val="00C846E1"/>
    <w:rsid w:val="00C87673"/>
    <w:rsid w:val="00C90211"/>
    <w:rsid w:val="00C90783"/>
    <w:rsid w:val="00C946A0"/>
    <w:rsid w:val="00C95C0B"/>
    <w:rsid w:val="00CA0927"/>
    <w:rsid w:val="00CA0E05"/>
    <w:rsid w:val="00CA4623"/>
    <w:rsid w:val="00CA4B6A"/>
    <w:rsid w:val="00CA7A9C"/>
    <w:rsid w:val="00CB007D"/>
    <w:rsid w:val="00CB0544"/>
    <w:rsid w:val="00CB140F"/>
    <w:rsid w:val="00CB1BAB"/>
    <w:rsid w:val="00CB2274"/>
    <w:rsid w:val="00CC1977"/>
    <w:rsid w:val="00CC1F56"/>
    <w:rsid w:val="00CC2185"/>
    <w:rsid w:val="00CC28DD"/>
    <w:rsid w:val="00CC4601"/>
    <w:rsid w:val="00CC75A2"/>
    <w:rsid w:val="00CC7AAE"/>
    <w:rsid w:val="00CD2162"/>
    <w:rsid w:val="00CD49EF"/>
    <w:rsid w:val="00CD4FC4"/>
    <w:rsid w:val="00CE021D"/>
    <w:rsid w:val="00CE0348"/>
    <w:rsid w:val="00CE423E"/>
    <w:rsid w:val="00CE67AF"/>
    <w:rsid w:val="00CF2D72"/>
    <w:rsid w:val="00CF6D60"/>
    <w:rsid w:val="00D01F25"/>
    <w:rsid w:val="00D02747"/>
    <w:rsid w:val="00D029A4"/>
    <w:rsid w:val="00D03FFF"/>
    <w:rsid w:val="00D107B7"/>
    <w:rsid w:val="00D1120B"/>
    <w:rsid w:val="00D11B8A"/>
    <w:rsid w:val="00D12174"/>
    <w:rsid w:val="00D14664"/>
    <w:rsid w:val="00D175D4"/>
    <w:rsid w:val="00D226A0"/>
    <w:rsid w:val="00D266F2"/>
    <w:rsid w:val="00D27175"/>
    <w:rsid w:val="00D304CE"/>
    <w:rsid w:val="00D3157C"/>
    <w:rsid w:val="00D32626"/>
    <w:rsid w:val="00D33D96"/>
    <w:rsid w:val="00D35671"/>
    <w:rsid w:val="00D364E5"/>
    <w:rsid w:val="00D37658"/>
    <w:rsid w:val="00D40A38"/>
    <w:rsid w:val="00D41184"/>
    <w:rsid w:val="00D42666"/>
    <w:rsid w:val="00D428E9"/>
    <w:rsid w:val="00D434B3"/>
    <w:rsid w:val="00D47CF4"/>
    <w:rsid w:val="00D5151E"/>
    <w:rsid w:val="00D5212F"/>
    <w:rsid w:val="00D52D57"/>
    <w:rsid w:val="00D52EB8"/>
    <w:rsid w:val="00D53012"/>
    <w:rsid w:val="00D543E3"/>
    <w:rsid w:val="00D557FA"/>
    <w:rsid w:val="00D56D8A"/>
    <w:rsid w:val="00D60A77"/>
    <w:rsid w:val="00D6208B"/>
    <w:rsid w:val="00D6323D"/>
    <w:rsid w:val="00D65736"/>
    <w:rsid w:val="00D67916"/>
    <w:rsid w:val="00D70277"/>
    <w:rsid w:val="00D7082A"/>
    <w:rsid w:val="00D76498"/>
    <w:rsid w:val="00D76FDC"/>
    <w:rsid w:val="00D80F30"/>
    <w:rsid w:val="00D824D2"/>
    <w:rsid w:val="00D83DDC"/>
    <w:rsid w:val="00D86780"/>
    <w:rsid w:val="00D86E4E"/>
    <w:rsid w:val="00D86E58"/>
    <w:rsid w:val="00D878B0"/>
    <w:rsid w:val="00D94156"/>
    <w:rsid w:val="00D94439"/>
    <w:rsid w:val="00DA15E3"/>
    <w:rsid w:val="00DB1CBD"/>
    <w:rsid w:val="00DB4813"/>
    <w:rsid w:val="00DB6228"/>
    <w:rsid w:val="00DC23BA"/>
    <w:rsid w:val="00DC5F49"/>
    <w:rsid w:val="00DC604A"/>
    <w:rsid w:val="00DC77D8"/>
    <w:rsid w:val="00DC7BEC"/>
    <w:rsid w:val="00DE073C"/>
    <w:rsid w:val="00DE16E9"/>
    <w:rsid w:val="00DE4365"/>
    <w:rsid w:val="00DE4C6F"/>
    <w:rsid w:val="00DE5D59"/>
    <w:rsid w:val="00DE710A"/>
    <w:rsid w:val="00E01B46"/>
    <w:rsid w:val="00E0547B"/>
    <w:rsid w:val="00E05F95"/>
    <w:rsid w:val="00E06324"/>
    <w:rsid w:val="00E109B2"/>
    <w:rsid w:val="00E11C47"/>
    <w:rsid w:val="00E1400B"/>
    <w:rsid w:val="00E17B51"/>
    <w:rsid w:val="00E2249A"/>
    <w:rsid w:val="00E2474A"/>
    <w:rsid w:val="00E271BE"/>
    <w:rsid w:val="00E30C20"/>
    <w:rsid w:val="00E30E91"/>
    <w:rsid w:val="00E30EBB"/>
    <w:rsid w:val="00E32B5E"/>
    <w:rsid w:val="00E33420"/>
    <w:rsid w:val="00E33D2F"/>
    <w:rsid w:val="00E35D4E"/>
    <w:rsid w:val="00E363D3"/>
    <w:rsid w:val="00E3757F"/>
    <w:rsid w:val="00E41E7A"/>
    <w:rsid w:val="00E4272F"/>
    <w:rsid w:val="00E42FD5"/>
    <w:rsid w:val="00E4395F"/>
    <w:rsid w:val="00E503CA"/>
    <w:rsid w:val="00E53DC8"/>
    <w:rsid w:val="00E55BE1"/>
    <w:rsid w:val="00E57717"/>
    <w:rsid w:val="00E6040B"/>
    <w:rsid w:val="00E610C7"/>
    <w:rsid w:val="00E66C39"/>
    <w:rsid w:val="00E67AC7"/>
    <w:rsid w:val="00E70CC7"/>
    <w:rsid w:val="00E727B4"/>
    <w:rsid w:val="00E758B8"/>
    <w:rsid w:val="00E773A0"/>
    <w:rsid w:val="00E77F0E"/>
    <w:rsid w:val="00E82285"/>
    <w:rsid w:val="00E85022"/>
    <w:rsid w:val="00E85235"/>
    <w:rsid w:val="00E857A6"/>
    <w:rsid w:val="00E91702"/>
    <w:rsid w:val="00E9493D"/>
    <w:rsid w:val="00EA48FC"/>
    <w:rsid w:val="00EA628F"/>
    <w:rsid w:val="00EA69C3"/>
    <w:rsid w:val="00EB0D59"/>
    <w:rsid w:val="00EB2203"/>
    <w:rsid w:val="00EB3CD1"/>
    <w:rsid w:val="00EB3FD4"/>
    <w:rsid w:val="00EB5501"/>
    <w:rsid w:val="00EB75FE"/>
    <w:rsid w:val="00EB7684"/>
    <w:rsid w:val="00EB7758"/>
    <w:rsid w:val="00EC031D"/>
    <w:rsid w:val="00EC2985"/>
    <w:rsid w:val="00EC33B7"/>
    <w:rsid w:val="00EC366B"/>
    <w:rsid w:val="00EC5738"/>
    <w:rsid w:val="00EC5BA4"/>
    <w:rsid w:val="00EC5DD8"/>
    <w:rsid w:val="00ED063F"/>
    <w:rsid w:val="00ED7CDD"/>
    <w:rsid w:val="00ED7FF2"/>
    <w:rsid w:val="00EE46D3"/>
    <w:rsid w:val="00EE7F07"/>
    <w:rsid w:val="00EF18F6"/>
    <w:rsid w:val="00EF278E"/>
    <w:rsid w:val="00EF2AC5"/>
    <w:rsid w:val="00EF6E58"/>
    <w:rsid w:val="00F00DC9"/>
    <w:rsid w:val="00F03A6F"/>
    <w:rsid w:val="00F078B5"/>
    <w:rsid w:val="00F12E05"/>
    <w:rsid w:val="00F15CE1"/>
    <w:rsid w:val="00F15F42"/>
    <w:rsid w:val="00F1642E"/>
    <w:rsid w:val="00F1677C"/>
    <w:rsid w:val="00F17CFA"/>
    <w:rsid w:val="00F22127"/>
    <w:rsid w:val="00F22E84"/>
    <w:rsid w:val="00F24F9C"/>
    <w:rsid w:val="00F30AB9"/>
    <w:rsid w:val="00F31D79"/>
    <w:rsid w:val="00F361CB"/>
    <w:rsid w:val="00F3751F"/>
    <w:rsid w:val="00F40D52"/>
    <w:rsid w:val="00F41282"/>
    <w:rsid w:val="00F448F4"/>
    <w:rsid w:val="00F50FEA"/>
    <w:rsid w:val="00F51A53"/>
    <w:rsid w:val="00F52C04"/>
    <w:rsid w:val="00F53597"/>
    <w:rsid w:val="00F56434"/>
    <w:rsid w:val="00F56C74"/>
    <w:rsid w:val="00F57207"/>
    <w:rsid w:val="00F5747F"/>
    <w:rsid w:val="00F60435"/>
    <w:rsid w:val="00F606DB"/>
    <w:rsid w:val="00F63A66"/>
    <w:rsid w:val="00F644D9"/>
    <w:rsid w:val="00F656A9"/>
    <w:rsid w:val="00F66DF8"/>
    <w:rsid w:val="00F67ECF"/>
    <w:rsid w:val="00F70120"/>
    <w:rsid w:val="00F72138"/>
    <w:rsid w:val="00F73E58"/>
    <w:rsid w:val="00F74539"/>
    <w:rsid w:val="00F842CC"/>
    <w:rsid w:val="00F8543D"/>
    <w:rsid w:val="00F86C2F"/>
    <w:rsid w:val="00F9086D"/>
    <w:rsid w:val="00F908C4"/>
    <w:rsid w:val="00F9496E"/>
    <w:rsid w:val="00F96741"/>
    <w:rsid w:val="00FA211A"/>
    <w:rsid w:val="00FA215F"/>
    <w:rsid w:val="00FA390E"/>
    <w:rsid w:val="00FA3A5D"/>
    <w:rsid w:val="00FA5054"/>
    <w:rsid w:val="00FA6561"/>
    <w:rsid w:val="00FA6FA2"/>
    <w:rsid w:val="00FB1764"/>
    <w:rsid w:val="00FB5172"/>
    <w:rsid w:val="00FB698D"/>
    <w:rsid w:val="00FC0283"/>
    <w:rsid w:val="00FC076E"/>
    <w:rsid w:val="00FC11EF"/>
    <w:rsid w:val="00FC1529"/>
    <w:rsid w:val="00FC24B4"/>
    <w:rsid w:val="00FC2B68"/>
    <w:rsid w:val="00FC49E1"/>
    <w:rsid w:val="00FD1537"/>
    <w:rsid w:val="00FD7AFE"/>
    <w:rsid w:val="00FE0ABD"/>
    <w:rsid w:val="00FE12EB"/>
    <w:rsid w:val="00FE1A58"/>
    <w:rsid w:val="00FE2D4E"/>
    <w:rsid w:val="00FE3AFA"/>
    <w:rsid w:val="00FE600B"/>
    <w:rsid w:val="00FE6D8D"/>
    <w:rsid w:val="00FE74C1"/>
    <w:rsid w:val="00FE7715"/>
    <w:rsid w:val="00FF2CDA"/>
    <w:rsid w:val="00FF362B"/>
    <w:rsid w:val="077737CC"/>
    <w:rsid w:val="1A625211"/>
    <w:rsid w:val="287D586B"/>
    <w:rsid w:val="2A330087"/>
    <w:rsid w:val="2CE42B49"/>
    <w:rsid w:val="38AD1F42"/>
    <w:rsid w:val="62E96EE0"/>
    <w:rsid w:val="70501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Times New Roman" w:eastAsia="仿宋" w:cs="Times New Roman"/>
      <w:kern w:val="30"/>
      <w:sz w:val="30"/>
      <w:szCs w:val="21"/>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4"/>
    <w:qFormat/>
    <w:uiPriority w:val="9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5"/>
    <w:qFormat/>
    <w:uiPriority w:val="99"/>
    <w:pPr>
      <w:keepNext/>
      <w:keepLines/>
      <w:spacing w:before="260" w:after="260" w:line="416" w:lineRule="auto"/>
      <w:outlineLvl w:val="2"/>
    </w:pPr>
    <w:rPr>
      <w:b/>
      <w:bCs/>
      <w:kern w:val="0"/>
      <w:sz w:val="32"/>
      <w:szCs w:val="32"/>
    </w:rPr>
  </w:style>
  <w:style w:type="character" w:default="1" w:styleId="18">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Document Map"/>
    <w:basedOn w:val="1"/>
    <w:link w:val="31"/>
    <w:semiHidden/>
    <w:unhideWhenUsed/>
    <w:qFormat/>
    <w:uiPriority w:val="99"/>
    <w:rPr>
      <w:rFonts w:ascii="宋体"/>
      <w:sz w:val="18"/>
      <w:szCs w:val="18"/>
    </w:rPr>
  </w:style>
  <w:style w:type="paragraph" w:styleId="6">
    <w:name w:val="annotation text"/>
    <w:basedOn w:val="1"/>
    <w:link w:val="29"/>
    <w:unhideWhenUsed/>
    <w:qFormat/>
    <w:uiPriority w:val="99"/>
    <w:pPr>
      <w:jc w:val="left"/>
    </w:pPr>
  </w:style>
  <w:style w:type="paragraph" w:styleId="7">
    <w:name w:val="Body Text"/>
    <w:basedOn w:val="1"/>
    <w:link w:val="36"/>
    <w:qFormat/>
    <w:uiPriority w:val="1"/>
    <w:pPr>
      <w:ind w:left="119"/>
      <w:jc w:val="left"/>
    </w:pPr>
    <w:rPr>
      <w:rFonts w:ascii="仿宋_GB2312" w:hAnsi="仿宋_GB2312" w:eastAsia="仿宋_GB2312" w:cstheme="minorBidi"/>
      <w:kern w:val="0"/>
      <w:szCs w:val="30"/>
      <w:lang w:eastAsia="en-US"/>
    </w:rPr>
  </w:style>
  <w:style w:type="paragraph" w:styleId="8">
    <w:name w:val="toc 3"/>
    <w:basedOn w:val="1"/>
    <w:next w:val="1"/>
    <w:unhideWhenUsed/>
    <w:qFormat/>
    <w:uiPriority w:val="39"/>
    <w:pPr>
      <w:widowControl/>
      <w:spacing w:after="100" w:line="259" w:lineRule="auto"/>
      <w:ind w:left="440"/>
      <w:jc w:val="left"/>
    </w:pPr>
    <w:rPr>
      <w:rFonts w:asciiTheme="minorHAnsi" w:hAnsiTheme="minorHAnsi" w:eastAsiaTheme="minorEastAsia"/>
      <w:kern w:val="0"/>
      <w:sz w:val="22"/>
      <w:szCs w:val="22"/>
    </w:rPr>
  </w:style>
  <w:style w:type="paragraph" w:styleId="9">
    <w:name w:val="Balloon Text"/>
    <w:basedOn w:val="1"/>
    <w:link w:val="28"/>
    <w:semiHidden/>
    <w:unhideWhenUsed/>
    <w:qFormat/>
    <w:uiPriority w:val="99"/>
    <w:rPr>
      <w:sz w:val="18"/>
      <w:szCs w:val="18"/>
    </w:rPr>
  </w:style>
  <w:style w:type="paragraph" w:styleId="10">
    <w:name w:val="footer"/>
    <w:basedOn w:val="1"/>
    <w:link w:val="27"/>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1">
    <w:name w:val="header"/>
    <w:basedOn w:val="1"/>
    <w:link w:val="2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2">
    <w:name w:val="toc 1"/>
    <w:basedOn w:val="1"/>
    <w:next w:val="1"/>
    <w:unhideWhenUsed/>
    <w:qFormat/>
    <w:uiPriority w:val="39"/>
    <w:pPr>
      <w:widowControl/>
      <w:tabs>
        <w:tab w:val="right" w:leader="dot" w:pos="8931"/>
      </w:tabs>
      <w:spacing w:line="400" w:lineRule="exact"/>
      <w:jc w:val="left"/>
    </w:pPr>
    <w:rPr>
      <w:rFonts w:asciiTheme="minorHAnsi" w:hAnsiTheme="minorHAnsi" w:eastAsiaTheme="minorEastAsia"/>
      <w:kern w:val="0"/>
      <w:sz w:val="22"/>
      <w:szCs w:val="22"/>
    </w:rPr>
  </w:style>
  <w:style w:type="paragraph" w:styleId="13">
    <w:name w:val="footnote text"/>
    <w:basedOn w:val="1"/>
    <w:link w:val="38"/>
    <w:semiHidden/>
    <w:unhideWhenUsed/>
    <w:qFormat/>
    <w:uiPriority w:val="99"/>
    <w:pPr>
      <w:snapToGrid w:val="0"/>
      <w:jc w:val="left"/>
    </w:pPr>
    <w:rPr>
      <w:sz w:val="18"/>
      <w:szCs w:val="18"/>
    </w:rPr>
  </w:style>
  <w:style w:type="paragraph" w:styleId="14">
    <w:name w:val="toc 2"/>
    <w:basedOn w:val="1"/>
    <w:next w:val="1"/>
    <w:unhideWhenUsed/>
    <w:qFormat/>
    <w:uiPriority w:val="39"/>
    <w:pPr>
      <w:widowControl/>
      <w:tabs>
        <w:tab w:val="right" w:leader="dot" w:pos="8789"/>
      </w:tabs>
      <w:spacing w:line="400" w:lineRule="exact"/>
      <w:jc w:val="left"/>
    </w:pPr>
    <w:rPr>
      <w:rFonts w:ascii="仿宋_GB2312" w:eastAsia="仿宋_GB2312" w:hAnsiTheme="minorHAnsi"/>
      <w:b/>
      <w:bCs/>
      <w:kern w:val="0"/>
      <w:sz w:val="24"/>
      <w:szCs w:val="24"/>
      <w:lang w:val="zh-CN"/>
    </w:rPr>
  </w:style>
  <w:style w:type="paragraph" w:styleId="15">
    <w:name w:val="annotation subject"/>
    <w:basedOn w:val="6"/>
    <w:next w:val="6"/>
    <w:link w:val="30"/>
    <w:semiHidden/>
    <w:unhideWhenUsed/>
    <w:qFormat/>
    <w:uiPriority w:val="99"/>
    <w:rPr>
      <w:b/>
      <w:bCs/>
    </w:rPr>
  </w:style>
  <w:style w:type="table" w:styleId="17">
    <w:name w:val="Table Grid"/>
    <w:basedOn w:val="16"/>
    <w:qFormat/>
    <w:uiPriority w:val="3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9">
    <w:name w:val="page number"/>
    <w:basedOn w:val="18"/>
    <w:qFormat/>
    <w:uiPriority w:val="0"/>
  </w:style>
  <w:style w:type="character" w:styleId="20">
    <w:name w:val="Hyperlink"/>
    <w:basedOn w:val="18"/>
    <w:unhideWhenUsed/>
    <w:qFormat/>
    <w:uiPriority w:val="99"/>
    <w:rPr>
      <w:color w:val="0000FF"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标题 1 字符"/>
    <w:basedOn w:val="18"/>
    <w:link w:val="2"/>
    <w:qFormat/>
    <w:uiPriority w:val="9"/>
    <w:rPr>
      <w:rFonts w:ascii="Times New Roman" w:hAnsi="Times New Roman" w:eastAsia="宋体" w:cs="Times New Roman"/>
      <w:b/>
      <w:bCs/>
      <w:kern w:val="44"/>
      <w:sz w:val="44"/>
      <w:szCs w:val="44"/>
    </w:rPr>
  </w:style>
  <w:style w:type="character" w:customStyle="1" w:styleId="24">
    <w:name w:val="标题 2 字符"/>
    <w:basedOn w:val="18"/>
    <w:link w:val="3"/>
    <w:qFormat/>
    <w:uiPriority w:val="99"/>
    <w:rPr>
      <w:rFonts w:ascii="Cambria" w:hAnsi="Cambria" w:eastAsia="宋体" w:cs="Times New Roman"/>
      <w:b/>
      <w:bCs/>
      <w:kern w:val="0"/>
      <w:sz w:val="32"/>
      <w:szCs w:val="32"/>
    </w:rPr>
  </w:style>
  <w:style w:type="character" w:customStyle="1" w:styleId="25">
    <w:name w:val="标题 3 字符"/>
    <w:basedOn w:val="18"/>
    <w:link w:val="4"/>
    <w:qFormat/>
    <w:uiPriority w:val="99"/>
    <w:rPr>
      <w:rFonts w:ascii="Times New Roman" w:hAnsi="Times New Roman" w:eastAsia="宋体" w:cs="Times New Roman"/>
      <w:b/>
      <w:bCs/>
      <w:kern w:val="0"/>
      <w:sz w:val="32"/>
      <w:szCs w:val="32"/>
    </w:rPr>
  </w:style>
  <w:style w:type="character" w:customStyle="1" w:styleId="26">
    <w:name w:val="页眉 字符"/>
    <w:basedOn w:val="18"/>
    <w:link w:val="11"/>
    <w:qFormat/>
    <w:uiPriority w:val="99"/>
    <w:rPr>
      <w:sz w:val="18"/>
      <w:szCs w:val="18"/>
    </w:rPr>
  </w:style>
  <w:style w:type="character" w:customStyle="1" w:styleId="27">
    <w:name w:val="页脚 字符"/>
    <w:basedOn w:val="18"/>
    <w:link w:val="10"/>
    <w:qFormat/>
    <w:uiPriority w:val="0"/>
    <w:rPr>
      <w:sz w:val="18"/>
      <w:szCs w:val="18"/>
    </w:rPr>
  </w:style>
  <w:style w:type="character" w:customStyle="1" w:styleId="28">
    <w:name w:val="批注框文本 字符"/>
    <w:basedOn w:val="18"/>
    <w:link w:val="9"/>
    <w:semiHidden/>
    <w:qFormat/>
    <w:uiPriority w:val="99"/>
    <w:rPr>
      <w:rFonts w:ascii="Times New Roman" w:hAnsi="Times New Roman" w:eastAsia="宋体" w:cs="Times New Roman"/>
      <w:sz w:val="18"/>
      <w:szCs w:val="18"/>
    </w:rPr>
  </w:style>
  <w:style w:type="character" w:customStyle="1" w:styleId="29">
    <w:name w:val="批注文字 字符"/>
    <w:basedOn w:val="18"/>
    <w:link w:val="6"/>
    <w:qFormat/>
    <w:uiPriority w:val="99"/>
    <w:rPr>
      <w:rFonts w:ascii="Times New Roman" w:hAnsi="Times New Roman" w:eastAsia="宋体" w:cs="Times New Roman"/>
      <w:szCs w:val="21"/>
    </w:rPr>
  </w:style>
  <w:style w:type="character" w:customStyle="1" w:styleId="30">
    <w:name w:val="批注主题 字符"/>
    <w:basedOn w:val="29"/>
    <w:link w:val="15"/>
    <w:semiHidden/>
    <w:qFormat/>
    <w:uiPriority w:val="99"/>
    <w:rPr>
      <w:rFonts w:ascii="Times New Roman" w:hAnsi="Times New Roman" w:eastAsia="宋体" w:cs="Times New Roman"/>
      <w:b/>
      <w:bCs/>
      <w:szCs w:val="21"/>
    </w:rPr>
  </w:style>
  <w:style w:type="character" w:customStyle="1" w:styleId="31">
    <w:name w:val="文档结构图 字符"/>
    <w:basedOn w:val="18"/>
    <w:link w:val="5"/>
    <w:semiHidden/>
    <w:qFormat/>
    <w:uiPriority w:val="99"/>
    <w:rPr>
      <w:rFonts w:ascii="宋体" w:hAnsi="Times New Roman" w:eastAsia="宋体" w:cs="Times New Roman"/>
      <w:sz w:val="18"/>
      <w:szCs w:val="18"/>
    </w:rPr>
  </w:style>
  <w:style w:type="paragraph" w:customStyle="1" w:styleId="32">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33">
    <w:name w:val="修订1"/>
    <w:hidden/>
    <w:semiHidden/>
    <w:qFormat/>
    <w:uiPriority w:val="99"/>
    <w:rPr>
      <w:rFonts w:ascii="Times New Roman" w:hAnsi="Times New Roman" w:eastAsia="宋体" w:cs="Times New Roman"/>
      <w:kern w:val="2"/>
      <w:sz w:val="21"/>
      <w:szCs w:val="21"/>
      <w:lang w:val="en-US" w:eastAsia="zh-CN" w:bidi="ar-SA"/>
    </w:rPr>
  </w:style>
  <w:style w:type="character" w:customStyle="1" w:styleId="34">
    <w:name w:val="页码 New New"/>
    <w:basedOn w:val="18"/>
    <w:qFormat/>
    <w:uiPriority w:val="0"/>
  </w:style>
  <w:style w:type="paragraph" w:styleId="35">
    <w:name w:val="List Paragraph"/>
    <w:basedOn w:val="1"/>
    <w:qFormat/>
    <w:uiPriority w:val="34"/>
    <w:pPr>
      <w:ind w:firstLine="420" w:firstLineChars="200"/>
    </w:pPr>
  </w:style>
  <w:style w:type="character" w:customStyle="1" w:styleId="36">
    <w:name w:val="正文文本 字符"/>
    <w:basedOn w:val="18"/>
    <w:link w:val="7"/>
    <w:qFormat/>
    <w:uiPriority w:val="1"/>
    <w:rPr>
      <w:rFonts w:ascii="仿宋_GB2312" w:hAnsi="仿宋_GB2312" w:eastAsia="仿宋_GB2312"/>
      <w:kern w:val="0"/>
      <w:sz w:val="30"/>
      <w:szCs w:val="30"/>
      <w:lang w:eastAsia="en-US"/>
    </w:rPr>
  </w:style>
  <w:style w:type="character" w:customStyle="1" w:styleId="37">
    <w:name w:val="Unresolved Mention"/>
    <w:basedOn w:val="18"/>
    <w:semiHidden/>
    <w:unhideWhenUsed/>
    <w:qFormat/>
    <w:uiPriority w:val="99"/>
    <w:rPr>
      <w:color w:val="605E5C"/>
      <w:shd w:val="clear" w:color="auto" w:fill="E1DFDD"/>
    </w:rPr>
  </w:style>
  <w:style w:type="character" w:customStyle="1" w:styleId="38">
    <w:name w:val="脚注文本 字符"/>
    <w:basedOn w:val="18"/>
    <w:link w:val="13"/>
    <w:semiHidden/>
    <w:qFormat/>
    <w:uiPriority w:val="99"/>
    <w:rPr>
      <w:rFonts w:ascii="仿宋" w:hAnsi="Times New Roman" w:eastAsia="仿宋" w:cs="Times New Roman"/>
      <w:kern w:val="30"/>
      <w:sz w:val="18"/>
      <w:szCs w:val="18"/>
    </w:rPr>
  </w:style>
  <w:style w:type="paragraph" w:customStyle="1" w:styleId="39">
    <w:name w:val="WPSOffice手动目录 1"/>
    <w:qFormat/>
    <w:uiPriority w:val="0"/>
    <w:rPr>
      <w:rFonts w:asciiTheme="minorHAnsi" w:hAnsiTheme="minorHAnsi" w:eastAsiaTheme="minorEastAsia" w:cstheme="minorBidi"/>
      <w:lang w:val="en-US" w:eastAsia="zh-CN" w:bidi="ar-SA"/>
    </w:rPr>
  </w:style>
  <w:style w:type="paragraph" w:customStyle="1" w:styleId="40">
    <w:name w:val="WPSOffice手动目录 2"/>
    <w:qFormat/>
    <w:uiPriority w:val="0"/>
    <w:pPr>
      <w:ind w:left="200" w:leftChars="200"/>
    </w:pPr>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afd627-8d25-43c0-8dea-e539c72e2402}"/>
        <w:style w:val=""/>
        <w:category>
          <w:name w:val="常规"/>
          <w:gallery w:val="placeholder"/>
        </w:category>
        <w:types>
          <w:type w:val="bbPlcHdr"/>
        </w:types>
        <w:behaviors>
          <w:behavior w:val="content"/>
        </w:behaviors>
        <w:description w:val=""/>
        <w:guid w:val="{15AFD627-8D25-43C0-8DEA-E539C72E2402}"/>
      </w:docPartPr>
      <w:docPartBody>
        <w:p>
          <w:r>
            <w:rPr>
              <w:color w:val="808080"/>
            </w:rPr>
            <w:t>单击此处输入文字。</w:t>
          </w:r>
        </w:p>
      </w:docPartBody>
    </w:docPart>
    <w:docPart>
      <w:docPartPr>
        <w:name w:val="{f2f1c57b-ed1f-44cd-8941-4b80c6ea5bb9}"/>
        <w:style w:val=""/>
        <w:category>
          <w:name w:val="常规"/>
          <w:gallery w:val="placeholder"/>
        </w:category>
        <w:types>
          <w:type w:val="bbPlcHdr"/>
        </w:types>
        <w:behaviors>
          <w:behavior w:val="content"/>
        </w:behaviors>
        <w:description w:val=""/>
        <w:guid w:val="{F2F1C57B-ED1F-44CD-8941-4B80C6EA5BB9}"/>
      </w:docPartPr>
      <w:docPartBody>
        <w:p>
          <w:r>
            <w:rPr>
              <w:color w:val="808080"/>
            </w:rPr>
            <w:t>单击此处输入文字。</w:t>
          </w:r>
        </w:p>
      </w:docPartBody>
    </w:docPart>
    <w:docPart>
      <w:docPartPr>
        <w:name w:val="{47785d5a-4584-424f-9d37-a6816cabc2a0}"/>
        <w:style w:val=""/>
        <w:category>
          <w:name w:val="常规"/>
          <w:gallery w:val="placeholder"/>
        </w:category>
        <w:types>
          <w:type w:val="bbPlcHdr"/>
        </w:types>
        <w:behaviors>
          <w:behavior w:val="content"/>
        </w:behaviors>
        <w:description w:val=""/>
        <w:guid w:val="{47785D5A-4584-424F-9D37-A6816CABC2A0}"/>
      </w:docPartPr>
      <w:docPartBody>
        <w:p>
          <w:r>
            <w:rPr>
              <w:color w:val="808080"/>
            </w:rPr>
            <w:t>单击此处输入文字。</w:t>
          </w:r>
        </w:p>
      </w:docPartBody>
    </w:docPart>
    <w:docPart>
      <w:docPartPr>
        <w:name w:val="{22ccd137-696a-4846-b958-4189e877252c}"/>
        <w:style w:val=""/>
        <w:category>
          <w:name w:val="常规"/>
          <w:gallery w:val="placeholder"/>
        </w:category>
        <w:types>
          <w:type w:val="bbPlcHdr"/>
        </w:types>
        <w:behaviors>
          <w:behavior w:val="content"/>
        </w:behaviors>
        <w:description w:val=""/>
        <w:guid w:val="{22CCD137-696A-4846-B958-4189E877252C}"/>
      </w:docPartPr>
      <w:docPartBody>
        <w:p>
          <w:r>
            <w:rPr>
              <w:color w:val="808080"/>
            </w:rPr>
            <w:t>单击此处输入文字。</w:t>
          </w:r>
        </w:p>
      </w:docPartBody>
    </w:docPart>
    <w:docPart>
      <w:docPartPr>
        <w:name w:val="{72780a9f-3700-4d44-a92f-fe3174f6aeb0}"/>
        <w:style w:val=""/>
        <w:category>
          <w:name w:val="常规"/>
          <w:gallery w:val="placeholder"/>
        </w:category>
        <w:types>
          <w:type w:val="bbPlcHdr"/>
        </w:types>
        <w:behaviors>
          <w:behavior w:val="content"/>
        </w:behaviors>
        <w:description w:val=""/>
        <w:guid w:val="{72780A9F-3700-4D44-A92F-FE3174F6AEB0}"/>
      </w:docPartPr>
      <w:docPartBody>
        <w:p>
          <w:r>
            <w:rPr>
              <w:color w:val="808080"/>
            </w:rPr>
            <w:t>单击此处输入文字。</w:t>
          </w:r>
        </w:p>
      </w:docPartBody>
    </w:docPart>
    <w:docPart>
      <w:docPartPr>
        <w:name w:val="{5d2ecc4d-9735-403d-be08-f5018db6ddda}"/>
        <w:style w:val=""/>
        <w:category>
          <w:name w:val="常规"/>
          <w:gallery w:val="placeholder"/>
        </w:category>
        <w:types>
          <w:type w:val="bbPlcHdr"/>
        </w:types>
        <w:behaviors>
          <w:behavior w:val="content"/>
        </w:behaviors>
        <w:description w:val=""/>
        <w:guid w:val="{5D2ECC4D-9735-403D-BE08-F5018DB6DDDA}"/>
      </w:docPartPr>
      <w:docPartBody>
        <w:p>
          <w:r>
            <w:rPr>
              <w:color w:val="808080"/>
            </w:rPr>
            <w:t>单击此处输入文字。</w:t>
          </w:r>
        </w:p>
      </w:docPartBody>
    </w:docPart>
    <w:docPart>
      <w:docPartPr>
        <w:name w:val="{3d1a1bb2-ad07-4734-90b6-068e6ea2853b}"/>
        <w:style w:val=""/>
        <w:category>
          <w:name w:val="常规"/>
          <w:gallery w:val="placeholder"/>
        </w:category>
        <w:types>
          <w:type w:val="bbPlcHdr"/>
        </w:types>
        <w:behaviors>
          <w:behavior w:val="content"/>
        </w:behaviors>
        <w:description w:val=""/>
        <w:guid w:val="{3D1A1BB2-AD07-4734-90B6-068E6EA2853B}"/>
      </w:docPartPr>
      <w:docPartBody>
        <w:p>
          <w:r>
            <w:rPr>
              <w:color w:val="808080"/>
            </w:rPr>
            <w:t>单击此处输入文字。</w:t>
          </w:r>
        </w:p>
      </w:docPartBody>
    </w:docPart>
    <w:docPart>
      <w:docPartPr>
        <w:name w:val="{9433f4c7-2015-4969-8669-00377f30c404}"/>
        <w:style w:val=""/>
        <w:category>
          <w:name w:val="常规"/>
          <w:gallery w:val="placeholder"/>
        </w:category>
        <w:types>
          <w:type w:val="bbPlcHdr"/>
        </w:types>
        <w:behaviors>
          <w:behavior w:val="content"/>
        </w:behaviors>
        <w:description w:val=""/>
        <w:guid w:val="{9433F4C7-2015-4969-8669-00377F30C404}"/>
      </w:docPartPr>
      <w:docPartBody>
        <w:p>
          <w:r>
            <w:rPr>
              <w:color w:val="808080"/>
            </w:rPr>
            <w:t>单击此处输入文字。</w:t>
          </w:r>
        </w:p>
      </w:docPartBody>
    </w:docPart>
    <w:docPart>
      <w:docPartPr>
        <w:name w:val="{3417aaa6-92b9-434e-9813-68ed031466c8}"/>
        <w:style w:val=""/>
        <w:category>
          <w:name w:val="常规"/>
          <w:gallery w:val="placeholder"/>
        </w:category>
        <w:types>
          <w:type w:val="bbPlcHdr"/>
        </w:types>
        <w:behaviors>
          <w:behavior w:val="content"/>
        </w:behaviors>
        <w:description w:val=""/>
        <w:guid w:val="{3417AAA6-92B9-434E-9813-68ED031466C8}"/>
      </w:docPartPr>
      <w:docPartBody>
        <w:p>
          <w:r>
            <w:rPr>
              <w:color w:val="808080"/>
            </w:rPr>
            <w:t>单击此处输入文字。</w:t>
          </w:r>
        </w:p>
      </w:docPartBody>
    </w:docPart>
    <w:docPart>
      <w:docPartPr>
        <w:name w:val="{66ea47b8-f4c6-468e-a0ed-22485b59f7d9}"/>
        <w:style w:val=""/>
        <w:category>
          <w:name w:val="常规"/>
          <w:gallery w:val="placeholder"/>
        </w:category>
        <w:types>
          <w:type w:val="bbPlcHdr"/>
        </w:types>
        <w:behaviors>
          <w:behavior w:val="content"/>
        </w:behaviors>
        <w:description w:val=""/>
        <w:guid w:val="{66EA47B8-F4C6-468E-A0ED-22485B59F7D9}"/>
      </w:docPartPr>
      <w:docPartBody>
        <w:p>
          <w:r>
            <w:rPr>
              <w:color w:val="808080"/>
            </w:rPr>
            <w:t>单击此处输入文字。</w:t>
          </w:r>
        </w:p>
      </w:docPartBody>
    </w:docPart>
    <w:docPart>
      <w:docPartPr>
        <w:name w:val="{7b99f5d3-acc5-44d1-b7b4-b215604c707d}"/>
        <w:style w:val=""/>
        <w:category>
          <w:name w:val="常规"/>
          <w:gallery w:val="placeholder"/>
        </w:category>
        <w:types>
          <w:type w:val="bbPlcHdr"/>
        </w:types>
        <w:behaviors>
          <w:behavior w:val="content"/>
        </w:behaviors>
        <w:description w:val=""/>
        <w:guid w:val="{7B99F5D3-ACC5-44D1-B7B4-B215604C707D}"/>
      </w:docPartPr>
      <w:docPartBody>
        <w:p>
          <w:r>
            <w:rPr>
              <w:color w:val="808080"/>
            </w:rPr>
            <w:t>单击此处输入文字。</w:t>
          </w:r>
        </w:p>
      </w:docPartBody>
    </w:docPart>
    <w:docPart>
      <w:docPartPr>
        <w:name w:val="{8080e83f-98c1-4adf-ac78-10aa6d3ebe0b}"/>
        <w:style w:val=""/>
        <w:category>
          <w:name w:val="常规"/>
          <w:gallery w:val="placeholder"/>
        </w:category>
        <w:types>
          <w:type w:val="bbPlcHdr"/>
        </w:types>
        <w:behaviors>
          <w:behavior w:val="content"/>
        </w:behaviors>
        <w:description w:val=""/>
        <w:guid w:val="{8080E83F-98C1-4ADF-AC78-10AA6D3EBE0B}"/>
      </w:docPartPr>
      <w:docPartBody>
        <w:p>
          <w:r>
            <w:rPr>
              <w:color w:val="808080"/>
            </w:rPr>
            <w:t>单击此处输入文字。</w:t>
          </w:r>
        </w:p>
      </w:docPartBody>
    </w:docPart>
    <w:docPart>
      <w:docPartPr>
        <w:name w:val="{bd70600a-71e8-4efc-9a01-d512fabe6231}"/>
        <w:style w:val=""/>
        <w:category>
          <w:name w:val="常规"/>
          <w:gallery w:val="placeholder"/>
        </w:category>
        <w:types>
          <w:type w:val="bbPlcHdr"/>
        </w:types>
        <w:behaviors>
          <w:behavior w:val="content"/>
        </w:behaviors>
        <w:description w:val=""/>
        <w:guid w:val="{BD70600A-71E8-4EFC-9A01-D512FABE6231}"/>
      </w:docPartPr>
      <w:docPartBody>
        <w:p>
          <w:r>
            <w:rPr>
              <w:color w:val="808080"/>
            </w:rPr>
            <w:t>单击此处输入文字。</w:t>
          </w:r>
        </w:p>
      </w:docPartBody>
    </w:docPart>
    <w:docPart>
      <w:docPartPr>
        <w:name w:val="{d797e2d2-bfb0-469c-860a-afb30cfc70d5}"/>
        <w:style w:val=""/>
        <w:category>
          <w:name w:val="常规"/>
          <w:gallery w:val="placeholder"/>
        </w:category>
        <w:types>
          <w:type w:val="bbPlcHdr"/>
        </w:types>
        <w:behaviors>
          <w:behavior w:val="content"/>
        </w:behaviors>
        <w:description w:val=""/>
        <w:guid w:val="{D797E2D2-BFB0-469C-860A-AFB30CFC70D5}"/>
      </w:docPartPr>
      <w:docPartBody>
        <w:p>
          <w:r>
            <w:rPr>
              <w:color w:val="808080"/>
            </w:rPr>
            <w:t>单击此处输入文字。</w:t>
          </w:r>
        </w:p>
      </w:docPartBody>
    </w:docPart>
    <w:docPart>
      <w:docPartPr>
        <w:name w:val="{f15d7d29-5d95-4aa4-a9be-440d796b4b23}"/>
        <w:style w:val=""/>
        <w:category>
          <w:name w:val="常规"/>
          <w:gallery w:val="placeholder"/>
        </w:category>
        <w:types>
          <w:type w:val="bbPlcHdr"/>
        </w:types>
        <w:behaviors>
          <w:behavior w:val="content"/>
        </w:behaviors>
        <w:description w:val=""/>
        <w:guid w:val="{F15D7D29-5D95-4AA4-A9BE-440D796B4B23}"/>
      </w:docPartPr>
      <w:docPartBody>
        <w:p>
          <w:r>
            <w:rPr>
              <w:color w:val="808080"/>
            </w:rPr>
            <w:t>单击此处输入文字。</w:t>
          </w:r>
        </w:p>
      </w:docPartBody>
    </w:docPart>
    <w:docPart>
      <w:docPartPr>
        <w:name w:val="{dc749ca5-bf31-4689-bea8-ae0384c93b6a}"/>
        <w:style w:val=""/>
        <w:category>
          <w:name w:val="常规"/>
          <w:gallery w:val="placeholder"/>
        </w:category>
        <w:types>
          <w:type w:val="bbPlcHdr"/>
        </w:types>
        <w:behaviors>
          <w:behavior w:val="content"/>
        </w:behaviors>
        <w:description w:val=""/>
        <w:guid w:val="{DC749CA5-BF31-4689-BEA8-AE0384C93B6A}"/>
      </w:docPartPr>
      <w:docPartBody>
        <w:p>
          <w:r>
            <w:rPr>
              <w:color w:val="808080"/>
            </w:rPr>
            <w:t>单击此处输入文字。</w:t>
          </w:r>
        </w:p>
      </w:docPartBody>
    </w:docPart>
    <w:docPart>
      <w:docPartPr>
        <w:name w:val="{66d7efe8-97cc-49ba-932e-eed7817211b6}"/>
        <w:style w:val=""/>
        <w:category>
          <w:name w:val="常规"/>
          <w:gallery w:val="placeholder"/>
        </w:category>
        <w:types>
          <w:type w:val="bbPlcHdr"/>
        </w:types>
        <w:behaviors>
          <w:behavior w:val="content"/>
        </w:behaviors>
        <w:description w:val=""/>
        <w:guid w:val="{66D7EFE8-97CC-49BA-932E-EED7817211B6}"/>
      </w:docPartPr>
      <w:docPartBody>
        <w:p>
          <w:r>
            <w:rPr>
              <w:color w:val="808080"/>
            </w:rPr>
            <w:t>单击此处输入文字。</w:t>
          </w:r>
        </w:p>
      </w:docPartBody>
    </w:docPart>
    <w:docPart>
      <w:docPartPr>
        <w:name w:val="{f9c3c403-1fc0-4b0a-897e-5fd973b9d708}"/>
        <w:style w:val=""/>
        <w:category>
          <w:name w:val="常规"/>
          <w:gallery w:val="placeholder"/>
        </w:category>
        <w:types>
          <w:type w:val="bbPlcHdr"/>
        </w:types>
        <w:behaviors>
          <w:behavior w:val="content"/>
        </w:behaviors>
        <w:description w:val=""/>
        <w:guid w:val="{F9C3C403-1FC0-4B0A-897E-5FD973B9D708}"/>
      </w:docPartPr>
      <w:docPartBody>
        <w:p>
          <w:r>
            <w:rPr>
              <w:color w:val="808080"/>
            </w:rPr>
            <w:t>单击此处输入文字。</w:t>
          </w:r>
        </w:p>
      </w:docPartBody>
    </w:docPart>
    <w:docPart>
      <w:docPartPr>
        <w:name w:val="{495bab44-6c7b-4f21-a097-8de8a2188575}"/>
        <w:style w:val=""/>
        <w:category>
          <w:name w:val="常规"/>
          <w:gallery w:val="placeholder"/>
        </w:category>
        <w:types>
          <w:type w:val="bbPlcHdr"/>
        </w:types>
        <w:behaviors>
          <w:behavior w:val="content"/>
        </w:behaviors>
        <w:description w:val=""/>
        <w:guid w:val="{495BAB44-6C7B-4F21-A097-8DE8A2188575}"/>
      </w:docPartPr>
      <w:docPartBody>
        <w:p>
          <w:r>
            <w:rPr>
              <w:color w:val="808080"/>
            </w:rPr>
            <w:t>单击此处输入文字。</w:t>
          </w:r>
        </w:p>
      </w:docPartBody>
    </w:docPart>
    <w:docPart>
      <w:docPartPr>
        <w:name w:val="{2f28ed37-2458-44d2-8dfb-62d225ee1333}"/>
        <w:style w:val=""/>
        <w:category>
          <w:name w:val="常规"/>
          <w:gallery w:val="placeholder"/>
        </w:category>
        <w:types>
          <w:type w:val="bbPlcHdr"/>
        </w:types>
        <w:behaviors>
          <w:behavior w:val="content"/>
        </w:behaviors>
        <w:description w:val=""/>
        <w:guid w:val="{2F28ED37-2458-44D2-8DFB-62D225EE1333}"/>
      </w:docPartPr>
      <w:docPartBody>
        <w:p>
          <w:r>
            <w:rPr>
              <w:color w:val="808080"/>
            </w:rPr>
            <w:t>单击此处输入文字。</w:t>
          </w:r>
        </w:p>
      </w:docPartBody>
    </w:docPart>
    <w:docPart>
      <w:docPartPr>
        <w:name w:val="{f3a76990-d349-4c72-80ff-6bdfbb00e0f5}"/>
        <w:style w:val=""/>
        <w:category>
          <w:name w:val="常规"/>
          <w:gallery w:val="placeholder"/>
        </w:category>
        <w:types>
          <w:type w:val="bbPlcHdr"/>
        </w:types>
        <w:behaviors>
          <w:behavior w:val="content"/>
        </w:behaviors>
        <w:description w:val=""/>
        <w:guid w:val="{F3A76990-D349-4C72-80FF-6BDFBB00E0F5}"/>
      </w:docPartPr>
      <w:docPartBody>
        <w:p>
          <w:r>
            <w:rPr>
              <w:color w:val="808080"/>
            </w:rPr>
            <w:t>单击此处输入文字。</w:t>
          </w:r>
        </w:p>
      </w:docPartBody>
    </w:docPart>
    <w:docPart>
      <w:docPartPr>
        <w:name w:val="{d23fa392-7220-41f6-b1e7-ec37527fb177}"/>
        <w:style w:val=""/>
        <w:category>
          <w:name w:val="常规"/>
          <w:gallery w:val="placeholder"/>
        </w:category>
        <w:types>
          <w:type w:val="bbPlcHdr"/>
        </w:types>
        <w:behaviors>
          <w:behavior w:val="content"/>
        </w:behaviors>
        <w:description w:val=""/>
        <w:guid w:val="{D23FA392-7220-41F6-B1E7-EC37527FB177}"/>
      </w:docPartPr>
      <w:docPartBody>
        <w:p>
          <w:r>
            <w:rPr>
              <w:color w:val="808080"/>
            </w:rPr>
            <w:t>单击此处输入文字。</w:t>
          </w:r>
        </w:p>
      </w:docPartBody>
    </w:docPart>
    <w:docPart>
      <w:docPartPr>
        <w:name w:val="{9705aa68-d9cf-4243-be86-8dbbd5ed8028}"/>
        <w:style w:val=""/>
        <w:category>
          <w:name w:val="常规"/>
          <w:gallery w:val="placeholder"/>
        </w:category>
        <w:types>
          <w:type w:val="bbPlcHdr"/>
        </w:types>
        <w:behaviors>
          <w:behavior w:val="content"/>
        </w:behaviors>
        <w:description w:val=""/>
        <w:guid w:val="{9705AA68-D9CF-4243-BE86-8DBBD5ED8028}"/>
      </w:docPartPr>
      <w:docPartBody>
        <w:p>
          <w:r>
            <w:rPr>
              <w:color w:val="808080"/>
            </w:rPr>
            <w:t>单击此处输入文字。</w:t>
          </w:r>
        </w:p>
      </w:docPartBody>
    </w:docPart>
    <w:docPart>
      <w:docPartPr>
        <w:name w:val="{e5ad3843-64c8-48fe-bca4-17a59261d77f}"/>
        <w:style w:val=""/>
        <w:category>
          <w:name w:val="常规"/>
          <w:gallery w:val="placeholder"/>
        </w:category>
        <w:types>
          <w:type w:val="bbPlcHdr"/>
        </w:types>
        <w:behaviors>
          <w:behavior w:val="content"/>
        </w:behaviors>
        <w:description w:val=""/>
        <w:guid w:val="{E5AD3843-64C8-48FE-BCA4-17A59261D77F}"/>
      </w:docPartPr>
      <w:docPartBody>
        <w:p>
          <w:r>
            <w:rPr>
              <w:color w:val="808080"/>
            </w:rPr>
            <w:t>单击此处输入文字。</w:t>
          </w:r>
        </w:p>
      </w:docPartBody>
    </w:docPart>
    <w:docPart>
      <w:docPartPr>
        <w:name w:val="{10ae99ad-bddb-4c24-9535-5eb2d6812394}"/>
        <w:style w:val=""/>
        <w:category>
          <w:name w:val="常规"/>
          <w:gallery w:val="placeholder"/>
        </w:category>
        <w:types>
          <w:type w:val="bbPlcHdr"/>
        </w:types>
        <w:behaviors>
          <w:behavior w:val="content"/>
        </w:behaviors>
        <w:description w:val=""/>
        <w:guid w:val="{10AE99AD-BDDB-4C24-9535-5EB2D6812394}"/>
      </w:docPartPr>
      <w:docPartBody>
        <w:p>
          <w:r>
            <w:rPr>
              <w:color w:val="808080"/>
            </w:rPr>
            <w:t>单击此处输入文字。</w:t>
          </w:r>
        </w:p>
      </w:docPartBody>
    </w:docPart>
    <w:docPart>
      <w:docPartPr>
        <w:name w:val="{48f0e2c7-7bac-4079-9c33-af9563958abb}"/>
        <w:style w:val=""/>
        <w:category>
          <w:name w:val="常规"/>
          <w:gallery w:val="placeholder"/>
        </w:category>
        <w:types>
          <w:type w:val="bbPlcHdr"/>
        </w:types>
        <w:behaviors>
          <w:behavior w:val="content"/>
        </w:behaviors>
        <w:description w:val=""/>
        <w:guid w:val="{48F0E2C7-7BAC-4079-9C33-AF9563958ABB}"/>
      </w:docPartPr>
      <w:docPartBody>
        <w:p>
          <w:r>
            <w:rPr>
              <w:color w:val="808080"/>
            </w:rPr>
            <w:t>单击此处输入文字。</w:t>
          </w:r>
        </w:p>
      </w:docPartBody>
    </w:docPart>
    <w:docPart>
      <w:docPartPr>
        <w:name w:val="{cf2421e4-5df5-41c4-a7e7-de957df3227b}"/>
        <w:style w:val=""/>
        <w:category>
          <w:name w:val="常规"/>
          <w:gallery w:val="placeholder"/>
        </w:category>
        <w:types>
          <w:type w:val="bbPlcHdr"/>
        </w:types>
        <w:behaviors>
          <w:behavior w:val="content"/>
        </w:behaviors>
        <w:description w:val=""/>
        <w:guid w:val="{CF2421E4-5DF5-41C4-A7E7-DE957DF3227B}"/>
      </w:docPartPr>
      <w:docPartBody>
        <w:p>
          <w:r>
            <w:rPr>
              <w:color w:val="808080"/>
            </w:rPr>
            <w:t>单击此处输入文字。</w:t>
          </w:r>
        </w:p>
      </w:docPartBody>
    </w:docPart>
    <w:docPart>
      <w:docPartPr>
        <w:name w:val="{d1674720-7c43-461d-816d-3fc12e6be9ed}"/>
        <w:style w:val=""/>
        <w:category>
          <w:name w:val="常规"/>
          <w:gallery w:val="placeholder"/>
        </w:category>
        <w:types>
          <w:type w:val="bbPlcHdr"/>
        </w:types>
        <w:behaviors>
          <w:behavior w:val="content"/>
        </w:behaviors>
        <w:description w:val=""/>
        <w:guid w:val="{D1674720-7C43-461D-816D-3FC12E6BE9ED}"/>
      </w:docPartPr>
      <w:docPartBody>
        <w:p>
          <w:r>
            <w:rPr>
              <w:color w:val="808080"/>
            </w:rPr>
            <w:t>单击此处输入文字。</w:t>
          </w:r>
        </w:p>
      </w:docPartBody>
    </w:docPart>
    <w:docPart>
      <w:docPartPr>
        <w:name w:val="{f0154992-4d06-41d9-8c8f-18843674b554}"/>
        <w:style w:val=""/>
        <w:category>
          <w:name w:val="常规"/>
          <w:gallery w:val="placeholder"/>
        </w:category>
        <w:types>
          <w:type w:val="bbPlcHdr"/>
        </w:types>
        <w:behaviors>
          <w:behavior w:val="content"/>
        </w:behaviors>
        <w:description w:val=""/>
        <w:guid w:val="{F0154992-4D06-41D9-8C8F-18843674B554}"/>
      </w:docPartPr>
      <w:docPartBody>
        <w:p>
          <w:r>
            <w:rPr>
              <w:color w:val="808080"/>
            </w:rPr>
            <w:t>单击此处输入文字。</w:t>
          </w:r>
        </w:p>
      </w:docPartBody>
    </w:docPart>
    <w:docPart>
      <w:docPartPr>
        <w:name w:val="{ead8a49f-0464-4db4-a416-946f35e3d192}"/>
        <w:style w:val=""/>
        <w:category>
          <w:name w:val="常规"/>
          <w:gallery w:val="placeholder"/>
        </w:category>
        <w:types>
          <w:type w:val="bbPlcHdr"/>
        </w:types>
        <w:behaviors>
          <w:behavior w:val="content"/>
        </w:behaviors>
        <w:description w:val=""/>
        <w:guid w:val="{EAD8A49F-0464-4DB4-A416-946F35E3D192}"/>
      </w:docPartPr>
      <w:docPartBody>
        <w:p>
          <w:r>
            <w:rPr>
              <w:color w:val="808080"/>
            </w:rPr>
            <w:t>单击此处输入文字。</w:t>
          </w:r>
        </w:p>
      </w:docPartBody>
    </w:docPart>
    <w:docPart>
      <w:docPartPr>
        <w:name w:val="{66b44d93-903e-4aa8-bc42-698cc48b45f7}"/>
        <w:style w:val=""/>
        <w:category>
          <w:name w:val="常规"/>
          <w:gallery w:val="placeholder"/>
        </w:category>
        <w:types>
          <w:type w:val="bbPlcHdr"/>
        </w:types>
        <w:behaviors>
          <w:behavior w:val="content"/>
        </w:behaviors>
        <w:description w:val=""/>
        <w:guid w:val="{66B44D93-903E-4AA8-BC42-698CC48B45F7}"/>
      </w:docPartPr>
      <w:docPartBody>
        <w:p>
          <w:r>
            <w:rPr>
              <w:color w:val="808080"/>
            </w:rPr>
            <w:t>单击此处输入文字。</w:t>
          </w:r>
        </w:p>
      </w:docPartBody>
    </w:docPart>
    <w:docPart>
      <w:docPartPr>
        <w:name w:val="{e5ead173-d14c-43ba-b1e3-b2f182adf99d}"/>
        <w:style w:val=""/>
        <w:category>
          <w:name w:val="常规"/>
          <w:gallery w:val="placeholder"/>
        </w:category>
        <w:types>
          <w:type w:val="bbPlcHdr"/>
        </w:types>
        <w:behaviors>
          <w:behavior w:val="content"/>
        </w:behaviors>
        <w:description w:val=""/>
        <w:guid w:val="{E5EAD173-D14C-43BA-B1E3-B2F182ADF99D}"/>
      </w:docPartPr>
      <w:docPartBody>
        <w:p>
          <w:r>
            <w:rPr>
              <w:color w:val="808080"/>
            </w:rPr>
            <w:t>单击此处输入文字。</w:t>
          </w:r>
        </w:p>
      </w:docPartBody>
    </w:docPart>
    <w:docPart>
      <w:docPartPr>
        <w:name w:val="{2fa3663e-5a7d-4cf7-b82f-6cf97ffb749c}"/>
        <w:style w:val=""/>
        <w:category>
          <w:name w:val="常规"/>
          <w:gallery w:val="placeholder"/>
        </w:category>
        <w:types>
          <w:type w:val="bbPlcHdr"/>
        </w:types>
        <w:behaviors>
          <w:behavior w:val="content"/>
        </w:behaviors>
        <w:description w:val=""/>
        <w:guid w:val="{2FA3663E-5A7D-4CF7-B82F-6CF97FFB749C}"/>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4FF"/>
    <w:rsid w:val="0000082D"/>
    <w:rsid w:val="00044E16"/>
    <w:rsid w:val="000551A8"/>
    <w:rsid w:val="007B7E2C"/>
    <w:rsid w:val="00857FB6"/>
    <w:rsid w:val="009F47BA"/>
    <w:rsid w:val="00A00617"/>
    <w:rsid w:val="00AE58EB"/>
    <w:rsid w:val="00B942C4"/>
    <w:rsid w:val="00C000C3"/>
    <w:rsid w:val="00CB041C"/>
    <w:rsid w:val="00DA7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DA13F0-B826-4255-84D5-346C74F7CF58}">
  <ds:schemaRefs/>
</ds:datastoreItem>
</file>

<file path=docProps/app.xml><?xml version="1.0" encoding="utf-8"?>
<Properties xmlns="http://schemas.openxmlformats.org/officeDocument/2006/extended-properties" xmlns:vt="http://schemas.openxmlformats.org/officeDocument/2006/docPropsVTypes">
  <Template>Normal</Template>
  <Pages>31</Pages>
  <Words>2301</Words>
  <Characters>13118</Characters>
  <Lines>109</Lines>
  <Paragraphs>30</Paragraphs>
  <TotalTime>1</TotalTime>
  <ScaleCrop>false</ScaleCrop>
  <LinksUpToDate>false</LinksUpToDate>
  <CharactersWithSpaces>15389</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2019-09-03T14:19:00Z</dcterms:created>
  <dcterms:modified xsi:type="dcterms:W3CDTF">2019-10-25T01:41:30Z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