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ascii="方正小标宋简体" w:hAnsi="宋体" w:eastAsia="方正小标宋简体"/>
          <w:color w:val="000000" w:themeColor="text1"/>
          <w:kern w:val="2"/>
          <w:sz w:val="44"/>
          <w:szCs w:val="44"/>
          <w14:textFill>
            <w14:solidFill>
              <w14:schemeClr w14:val="tx1"/>
            </w14:solidFill>
          </w14:textFill>
        </w:rPr>
      </w:pPr>
    </w:p>
    <w:p>
      <w:pPr>
        <w:spacing w:line="590" w:lineRule="exact"/>
        <w:jc w:val="center"/>
        <w:rPr>
          <w:rFonts w:ascii="方正小标宋简体" w:hAnsi="宋体" w:eastAsia="方正小标宋简体"/>
          <w:color w:val="000000" w:themeColor="text1"/>
          <w:kern w:val="2"/>
          <w:sz w:val="44"/>
          <w:szCs w:val="44"/>
          <w14:textFill>
            <w14:solidFill>
              <w14:schemeClr w14:val="tx1"/>
            </w14:solidFill>
          </w14:textFill>
        </w:rPr>
      </w:pPr>
    </w:p>
    <w:p>
      <w:pPr>
        <w:spacing w:line="579" w:lineRule="exact"/>
        <w:jc w:val="center"/>
        <w:rPr>
          <w:rFonts w:ascii="方正小标宋简体" w:hAnsi="方正小标宋简体" w:eastAsia="方正小标宋简体" w:cs="方正小标宋简体"/>
          <w:kern w:val="40"/>
          <w:sz w:val="44"/>
          <w:szCs w:val="44"/>
        </w:rPr>
      </w:pPr>
      <w:r>
        <w:rPr>
          <w:rFonts w:hint="eastAsia" w:ascii="方正小标宋简体" w:hAnsi="方正小标宋简体" w:eastAsia="方正小标宋简体" w:cs="方正小标宋简体"/>
          <w:kern w:val="40"/>
          <w:sz w:val="44"/>
          <w:szCs w:val="44"/>
        </w:rPr>
        <w:t>玉溪市人民政府扶贫开发办公室建档立卡贫困户和“直过民族”户危房改造及</w:t>
      </w:r>
    </w:p>
    <w:p>
      <w:pPr>
        <w:spacing w:line="590" w:lineRule="exact"/>
        <w:jc w:val="center"/>
        <w:rPr>
          <w:rFonts w:ascii="方正小标宋简体" w:hAnsi="宋体" w:eastAsia="方正小标宋简体"/>
          <w:color w:val="000000" w:themeColor="text1"/>
          <w:kern w:val="2"/>
          <w:sz w:val="44"/>
          <w:szCs w:val="44"/>
          <w14:textFill>
            <w14:solidFill>
              <w14:schemeClr w14:val="tx1"/>
            </w14:solidFill>
          </w14:textFill>
        </w:rPr>
      </w:pPr>
      <w:r>
        <w:rPr>
          <w:rFonts w:hint="eastAsia" w:ascii="方正小标宋简体" w:hAnsi="方正小标宋简体" w:eastAsia="方正小标宋简体" w:cs="方正小标宋简体"/>
          <w:kern w:val="40"/>
          <w:sz w:val="44"/>
          <w:szCs w:val="44"/>
        </w:rPr>
        <w:t>“直过民族”整村推进项目</w:t>
      </w:r>
    </w:p>
    <w:p>
      <w:pPr>
        <w:jc w:val="center"/>
        <w:rPr>
          <w:rFonts w:ascii="方正小标宋简体" w:hAnsi="宋体" w:eastAsia="方正小标宋简体"/>
          <w:color w:val="000000" w:themeColor="text1"/>
          <w:kern w:val="2"/>
          <w:sz w:val="72"/>
          <w:szCs w:val="72"/>
          <w14:textFill>
            <w14:solidFill>
              <w14:schemeClr w14:val="tx1"/>
            </w14:solidFill>
          </w14:textFill>
        </w:rPr>
      </w:pPr>
    </w:p>
    <w:p>
      <w:pPr>
        <w:jc w:val="center"/>
        <w:rPr>
          <w:rFonts w:ascii="方正小标宋简体" w:hAnsi="宋体" w:eastAsia="方正小标宋简体"/>
          <w:color w:val="000000" w:themeColor="text1"/>
          <w:kern w:val="2"/>
          <w:sz w:val="72"/>
          <w:szCs w:val="72"/>
          <w14:textFill>
            <w14:solidFill>
              <w14:schemeClr w14:val="tx1"/>
            </w14:solidFill>
          </w14:textFill>
        </w:rPr>
      </w:pPr>
      <w:r>
        <w:rPr>
          <w:rFonts w:hint="eastAsia" w:ascii="方正小标宋简体" w:hAnsi="宋体" w:eastAsia="方正小标宋简体"/>
          <w:color w:val="000000" w:themeColor="text1"/>
          <w:kern w:val="2"/>
          <w:sz w:val="72"/>
          <w:szCs w:val="72"/>
          <w14:textFill>
            <w14:solidFill>
              <w14:schemeClr w14:val="tx1"/>
            </w14:solidFill>
          </w14:textFill>
        </w:rPr>
        <w:t>绩效再评价报告</w:t>
      </w: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adjustRightInd w:val="0"/>
        <w:spacing w:line="590" w:lineRule="exact"/>
        <w:rPr>
          <w:rFonts w:ascii="黑体" w:hAnsi="宋体" w:eastAsia="黑体"/>
          <w:color w:val="000000" w:themeColor="text1"/>
          <w:kern w:val="2"/>
          <w:szCs w:val="30"/>
          <w14:textFill>
            <w14:solidFill>
              <w14:schemeClr w14:val="tx1"/>
            </w14:solidFill>
          </w14:textFill>
        </w:rPr>
      </w:pPr>
      <w:r>
        <w:rPr>
          <w:rFonts w:hint="eastAsia" w:ascii="黑体" w:hAnsi="宋体" w:eastAsia="黑体"/>
          <w:color w:val="000000" w:themeColor="text1"/>
          <w:kern w:val="2"/>
          <w:szCs w:val="30"/>
          <w14:textFill>
            <w14:solidFill>
              <w14:schemeClr w14:val="tx1"/>
            </w14:solidFill>
          </w14:textFill>
        </w:rPr>
        <w:t>委托单位名称：玉溪市财政局（章）</w:t>
      </w:r>
    </w:p>
    <w:p>
      <w:pPr>
        <w:adjustRightInd w:val="0"/>
        <w:spacing w:line="590" w:lineRule="exact"/>
        <w:rPr>
          <w:rFonts w:ascii="黑体" w:hAnsi="宋体" w:eastAsia="黑体"/>
          <w:color w:val="000000" w:themeColor="text1"/>
          <w:kern w:val="2"/>
          <w:szCs w:val="30"/>
          <w14:textFill>
            <w14:solidFill>
              <w14:schemeClr w14:val="tx1"/>
            </w14:solidFill>
          </w14:textFill>
        </w:rPr>
      </w:pPr>
    </w:p>
    <w:p>
      <w:pPr>
        <w:adjustRightInd w:val="0"/>
        <w:spacing w:line="590" w:lineRule="exact"/>
        <w:rPr>
          <w:rFonts w:ascii="黑体" w:hAnsi="宋体" w:eastAsia="黑体"/>
          <w:color w:val="000000" w:themeColor="text1"/>
          <w:kern w:val="2"/>
          <w:szCs w:val="30"/>
          <w14:textFill>
            <w14:solidFill>
              <w14:schemeClr w14:val="tx1"/>
            </w14:solidFill>
          </w14:textFill>
        </w:rPr>
      </w:pPr>
    </w:p>
    <w:p>
      <w:pPr>
        <w:spacing w:line="590" w:lineRule="exact"/>
        <w:ind w:left="2293" w:hanging="2286" w:hangingChars="726"/>
        <w:rPr>
          <w:rFonts w:eastAsia="黑体"/>
          <w:color w:val="000000" w:themeColor="text1"/>
          <w:kern w:val="2"/>
          <w:szCs w:val="30"/>
          <w14:textFill>
            <w14:solidFill>
              <w14:schemeClr w14:val="tx1"/>
            </w14:solidFill>
          </w14:textFill>
        </w:rPr>
      </w:pPr>
      <w:r>
        <w:rPr>
          <w:rFonts w:hint="eastAsia" w:ascii="黑体" w:hAnsi="宋体" w:eastAsia="黑体"/>
          <w:color w:val="000000" w:themeColor="text1"/>
          <w:kern w:val="2"/>
          <w:szCs w:val="30"/>
          <w14:textFill>
            <w14:solidFill>
              <w14:schemeClr w14:val="tx1"/>
            </w14:solidFill>
          </w14:textFill>
        </w:rPr>
        <w:t>评审机构名称：华昆工程管理咨询有限公司</w:t>
      </w:r>
      <w:r>
        <w:rPr>
          <w:rFonts w:hint="eastAsia" w:ascii="黑体" w:hAnsi="宋体" w:eastAsia="黑体"/>
          <w:kern w:val="2"/>
          <w:szCs w:val="30"/>
        </w:rPr>
        <w:t>（章）</w:t>
      </w:r>
    </w:p>
    <w:p>
      <w:pPr>
        <w:spacing w:line="590" w:lineRule="exact"/>
        <w:rPr>
          <w:rFonts w:eastAsia="黑体"/>
          <w:color w:val="000000" w:themeColor="text1"/>
          <w:kern w:val="2"/>
          <w:szCs w:val="30"/>
          <w14:textFill>
            <w14:solidFill>
              <w14:schemeClr w14:val="tx1"/>
            </w14:solidFill>
          </w14:textFill>
        </w:rPr>
      </w:pPr>
    </w:p>
    <w:p>
      <w:pPr>
        <w:autoSpaceDE w:val="0"/>
        <w:autoSpaceDN w:val="0"/>
        <w:adjustRightInd w:val="0"/>
        <w:spacing w:line="590" w:lineRule="exact"/>
        <w:rPr>
          <w:rFonts w:ascii="黑体" w:eastAsia="黑体" w:cs="黑体"/>
          <w:kern w:val="2"/>
          <w:szCs w:val="30"/>
        </w:rPr>
      </w:pPr>
      <w:r>
        <w:rPr>
          <w:rFonts w:hint="eastAsia" w:ascii="黑体" w:eastAsia="黑体" w:cs="黑体"/>
          <w:kern w:val="2"/>
          <w:szCs w:val="30"/>
          <w:lang w:val="zh-CN"/>
        </w:rPr>
        <w:t>报告编号：</w:t>
      </w:r>
      <w:r>
        <w:rPr>
          <w:rFonts w:hint="eastAsia" w:ascii="黑体" w:eastAsia="黑体" w:cs="黑体"/>
          <w:kern w:val="2"/>
          <w:szCs w:val="30"/>
        </w:rPr>
        <w:t>YXSCZJ2019007</w:t>
      </w:r>
    </w:p>
    <w:p>
      <w:pPr>
        <w:autoSpaceDE w:val="0"/>
        <w:autoSpaceDN w:val="0"/>
        <w:adjustRightInd w:val="0"/>
        <w:spacing w:line="590" w:lineRule="exact"/>
        <w:rPr>
          <w:rFonts w:ascii="黑体" w:eastAsia="黑体" w:cs="黑体"/>
          <w:kern w:val="2"/>
          <w:szCs w:val="30"/>
          <w:lang w:val="zh-CN"/>
        </w:rPr>
      </w:pPr>
      <w:r>
        <w:rPr>
          <w:rFonts w:hint="eastAsia" w:ascii="黑体" w:eastAsia="黑体" w:cs="黑体"/>
          <w:kern w:val="2"/>
          <w:szCs w:val="30"/>
          <w:lang w:val="zh-CN"/>
        </w:rPr>
        <w:t>项目评审起止时间</w:t>
      </w:r>
      <w:r>
        <w:rPr>
          <w:rFonts w:hint="eastAsia" w:ascii="黑体" w:hAnsi="黑体" w:eastAsia="黑体"/>
          <w:kern w:val="2"/>
          <w:szCs w:val="30"/>
        </w:rPr>
        <w:t>:201</w:t>
      </w:r>
      <w:r>
        <w:rPr>
          <w:rFonts w:ascii="黑体" w:hAnsi="黑体" w:eastAsia="黑体"/>
          <w:kern w:val="2"/>
          <w:szCs w:val="30"/>
        </w:rPr>
        <w:t>9年</w:t>
      </w:r>
      <w:r>
        <w:rPr>
          <w:rFonts w:hint="eastAsia" w:ascii="黑体" w:hAnsi="黑体" w:eastAsia="黑体"/>
          <w:kern w:val="2"/>
          <w:szCs w:val="30"/>
        </w:rPr>
        <w:t>7月6</w:t>
      </w:r>
      <w:r>
        <w:rPr>
          <w:rFonts w:ascii="黑体" w:hAnsi="黑体" w:eastAsia="黑体"/>
          <w:kern w:val="2"/>
          <w:szCs w:val="30"/>
        </w:rPr>
        <w:t>日</w:t>
      </w:r>
      <w:r>
        <w:rPr>
          <w:rFonts w:hint="eastAsia" w:ascii="黑体" w:hAnsi="黑体" w:eastAsia="黑体"/>
          <w:kern w:val="2"/>
          <w:szCs w:val="30"/>
        </w:rPr>
        <w:t>至201</w:t>
      </w:r>
      <w:r>
        <w:rPr>
          <w:rFonts w:ascii="黑体" w:hAnsi="黑体" w:eastAsia="黑体"/>
          <w:kern w:val="2"/>
          <w:szCs w:val="30"/>
        </w:rPr>
        <w:t>9年</w:t>
      </w:r>
      <w:r>
        <w:rPr>
          <w:rFonts w:hint="eastAsia" w:ascii="黑体" w:hAnsi="黑体" w:eastAsia="黑体"/>
          <w:kern w:val="2"/>
          <w:szCs w:val="30"/>
        </w:rPr>
        <w:t>9</w:t>
      </w:r>
      <w:r>
        <w:rPr>
          <w:rFonts w:ascii="黑体" w:hAnsi="黑体" w:eastAsia="黑体"/>
          <w:kern w:val="2"/>
          <w:szCs w:val="30"/>
        </w:rPr>
        <w:t>月</w:t>
      </w:r>
      <w:r>
        <w:rPr>
          <w:rFonts w:hint="eastAsia" w:ascii="黑体" w:hAnsi="黑体" w:eastAsia="黑体"/>
          <w:kern w:val="2"/>
          <w:szCs w:val="30"/>
        </w:rPr>
        <w:t>30</w:t>
      </w:r>
      <w:r>
        <w:rPr>
          <w:rFonts w:ascii="黑体" w:hAnsi="黑体" w:eastAsia="黑体"/>
          <w:kern w:val="2"/>
          <w:szCs w:val="30"/>
        </w:rPr>
        <w:t>日</w:t>
      </w:r>
    </w:p>
    <w:p>
      <w:pPr>
        <w:autoSpaceDE w:val="0"/>
        <w:autoSpaceDN w:val="0"/>
        <w:adjustRightInd w:val="0"/>
        <w:spacing w:line="590" w:lineRule="exact"/>
        <w:rPr>
          <w:rFonts w:ascii="黑体" w:eastAsia="黑体" w:cs="黑体"/>
          <w:kern w:val="2"/>
          <w:szCs w:val="30"/>
          <w:lang w:val="zh-CN"/>
        </w:rPr>
      </w:pPr>
      <w:r>
        <w:rPr>
          <w:rFonts w:hint="eastAsia" w:ascii="黑体" w:eastAsia="黑体" w:cs="黑体"/>
          <w:kern w:val="2"/>
          <w:szCs w:val="30"/>
          <w:lang w:val="zh-CN"/>
        </w:rPr>
        <w:t>评审报告出具时间:</w:t>
      </w:r>
    </w:p>
    <w:p>
      <w:pPr>
        <w:widowControl/>
        <w:spacing w:line="400" w:lineRule="exact"/>
        <w:jc w:val="center"/>
        <w:rPr>
          <w:rFonts w:asciiTheme="minorEastAsia" w:hAnsiTheme="minorEastAsia" w:eastAsiaTheme="minorEastAsia"/>
          <w:b/>
          <w:sz w:val="36"/>
          <w:szCs w:val="36"/>
          <w:lang w:val="zh-CN"/>
        </w:rPr>
      </w:pPr>
    </w:p>
    <w:p>
      <w:pPr>
        <w:widowControl/>
        <w:spacing w:line="400" w:lineRule="exact"/>
        <w:jc w:val="center"/>
        <w:rPr>
          <w:rFonts w:asciiTheme="minorEastAsia" w:hAnsiTheme="minorEastAsia" w:eastAsiaTheme="minorEastAsia"/>
          <w:bCs/>
          <w:sz w:val="36"/>
          <w:szCs w:val="36"/>
        </w:rPr>
        <w:sectPr>
          <w:type w:val="oddPage"/>
          <w:pgSz w:w="11906" w:h="16838"/>
          <w:pgMar w:top="2098" w:right="1474" w:bottom="1985" w:left="1588" w:header="851" w:footer="1474" w:gutter="0"/>
          <w:pgNumType w:start="1"/>
          <w:cols w:space="425" w:num="1"/>
          <w:docGrid w:type="linesAndChars" w:linePitch="579" w:charSpace="3247"/>
        </w:sectPr>
      </w:pPr>
    </w:p>
    <w:p>
      <w:pPr>
        <w:widowControl/>
        <w:spacing w:line="400" w:lineRule="exact"/>
        <w:jc w:val="center"/>
        <w:rPr>
          <w:rFonts w:asciiTheme="minorEastAsia" w:hAnsiTheme="minorEastAsia" w:eastAsiaTheme="minorEastAsia"/>
          <w:bCs/>
          <w:sz w:val="36"/>
          <w:szCs w:val="36"/>
        </w:rPr>
      </w:pPr>
    </w:p>
    <w:sdt>
      <w:sdtPr>
        <w:rPr>
          <w:rFonts w:hint="eastAsia" w:ascii="宋体" w:hAnsi="宋体" w:eastAsia="宋体" w:cs="宋体"/>
          <w:kern w:val="30"/>
          <w:sz w:val="24"/>
          <w:szCs w:val="24"/>
          <w:lang w:val="en-US" w:eastAsia="zh-CN" w:bidi="ar-SA"/>
        </w:rPr>
        <w:id w:val="147469675"/>
        <w15:color w:val="DBDBDB"/>
        <w:docPartObj>
          <w:docPartGallery w:val="Table of Contents"/>
          <w:docPartUnique/>
        </w:docPartObj>
      </w:sdtPr>
      <w:sdtEndPr>
        <w:rPr>
          <w:rFonts w:hint="eastAsia" w:ascii="Times New Roman" w:hAnsi="Times New Roman" w:eastAsia="宋体" w:cs="Times New Roman"/>
          <w:kern w:val="30"/>
          <w:sz w:val="24"/>
          <w:szCs w:val="24"/>
          <w:lang w:val="en-US" w:eastAsia="zh-CN" w:bidi="ar-SA"/>
        </w:rPr>
      </w:sdtEndPr>
      <w:sdtContent>
        <w:p>
          <w:pPr>
            <w:keepNext w:val="0"/>
            <w:keepLines w:val="0"/>
            <w:pageBreakBefore w:val="0"/>
            <w:kinsoku/>
            <w:wordWrap/>
            <w:overflowPunct/>
            <w:topLinePunct w:val="0"/>
            <w:autoSpaceDE/>
            <w:autoSpaceDN/>
            <w:bidi w:val="0"/>
            <w:adjustRightInd w:val="0"/>
            <w:snapToGrid w:val="0"/>
            <w:spacing w:before="0" w:beforeLines="0" w:after="0" w:afterLines="0" w:line="240" w:lineRule="auto"/>
            <w:ind w:left="0" w:leftChars="0" w:right="0" w:rightChars="0" w:firstLine="0" w:firstLineChars="0"/>
            <w:jc w:val="center"/>
            <w:textAlignment w:val="auto"/>
            <w:rPr>
              <w:rFonts w:hint="eastAsia" w:ascii="宋体" w:hAnsi="宋体" w:eastAsia="宋体" w:cs="宋体"/>
              <w:sz w:val="24"/>
              <w:szCs w:val="24"/>
            </w:rPr>
          </w:pPr>
          <w:bookmarkStart w:id="0" w:name="_Toc11305_WPSOffice_Type2"/>
          <w:r>
            <w:rPr>
              <w:rFonts w:hint="eastAsia" w:ascii="宋体" w:hAnsi="宋体" w:eastAsia="宋体" w:cs="宋体"/>
              <w:b/>
              <w:bCs/>
              <w:sz w:val="36"/>
              <w:szCs w:val="36"/>
            </w:rPr>
            <w:t>目</w:t>
          </w:r>
          <w:r>
            <w:rPr>
              <w:rFonts w:hint="eastAsia" w:ascii="宋体" w:hAnsi="宋体" w:eastAsia="宋体" w:cs="宋体"/>
              <w:b/>
              <w:bCs/>
              <w:sz w:val="36"/>
              <w:szCs w:val="36"/>
              <w:lang w:val="en-US" w:eastAsia="zh-CN"/>
            </w:rPr>
            <w:t xml:space="preserve"> </w:t>
          </w:r>
          <w:r>
            <w:rPr>
              <w:rFonts w:hint="eastAsia" w:ascii="宋体" w:hAnsi="宋体" w:eastAsia="宋体" w:cs="宋体"/>
              <w:b/>
              <w:bCs/>
              <w:sz w:val="36"/>
              <w:szCs w:val="36"/>
            </w:rPr>
            <w:t>录</w:t>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_Toc18439_WPSOffice_Level1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96c3ec62-76fd-4e62-9644-d74240156d03}"/>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摘 要</w:t>
              </w:r>
            </w:sdtContent>
          </w:sdt>
          <w:r>
            <w:rPr>
              <w:rFonts w:hint="eastAsia" w:ascii="宋体" w:hAnsi="宋体" w:eastAsia="宋体" w:cs="宋体"/>
              <w:b/>
              <w:bCs/>
              <w:sz w:val="24"/>
              <w:szCs w:val="24"/>
            </w:rPr>
            <w:tab/>
          </w:r>
          <w:bookmarkStart w:id="1" w:name="_Toc18439_WPSOffice_Level1Page"/>
          <w:r>
            <w:rPr>
              <w:rFonts w:hint="eastAsia" w:ascii="宋体" w:hAnsi="宋体" w:eastAsia="宋体" w:cs="宋体"/>
              <w:b/>
              <w:bCs/>
              <w:sz w:val="24"/>
              <w:szCs w:val="24"/>
            </w:rPr>
            <w:t>1</w:t>
          </w:r>
          <w:bookmarkEnd w:id="1"/>
          <w:r>
            <w:rPr>
              <w:rFonts w:hint="eastAsia" w:ascii="宋体" w:hAnsi="宋体" w:eastAsia="宋体" w:cs="宋体"/>
              <w:b/>
              <w:bCs/>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_Toc18258_WPSOffice_Level1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0a61ade0-52f5-4102-ad0b-c59e0150fb99}"/>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一、基本情况</w:t>
              </w:r>
            </w:sdtContent>
          </w:sdt>
          <w:r>
            <w:rPr>
              <w:rFonts w:hint="eastAsia" w:ascii="宋体" w:hAnsi="宋体" w:eastAsia="宋体" w:cs="宋体"/>
              <w:b/>
              <w:bCs/>
              <w:sz w:val="24"/>
              <w:szCs w:val="24"/>
            </w:rPr>
            <w:tab/>
          </w:r>
          <w:bookmarkStart w:id="2" w:name="_Toc18258_WPSOffice_Level1Page"/>
          <w:r>
            <w:rPr>
              <w:rFonts w:hint="eastAsia" w:ascii="宋体" w:hAnsi="宋体" w:eastAsia="宋体" w:cs="宋体"/>
              <w:b/>
              <w:bCs/>
              <w:sz w:val="24"/>
              <w:szCs w:val="24"/>
            </w:rPr>
            <w:t>5</w:t>
          </w:r>
          <w:bookmarkEnd w:id="2"/>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_Toc25324_WPSOffice_Level2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efe37209-4270-4c9d-b76a-c72f71b09295}"/>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（一）项目背景</w:t>
              </w:r>
            </w:sdtContent>
          </w:sdt>
          <w:r>
            <w:rPr>
              <w:rFonts w:hint="eastAsia" w:ascii="宋体" w:hAnsi="宋体" w:eastAsia="宋体" w:cs="宋体"/>
              <w:sz w:val="24"/>
              <w:szCs w:val="24"/>
            </w:rPr>
            <w:tab/>
          </w:r>
          <w:bookmarkStart w:id="3" w:name="_Toc25324_WPSOffice_Level2Page"/>
          <w:r>
            <w:rPr>
              <w:rFonts w:hint="eastAsia" w:ascii="宋体" w:hAnsi="宋体" w:eastAsia="宋体" w:cs="宋体"/>
              <w:sz w:val="24"/>
              <w:szCs w:val="24"/>
            </w:rPr>
            <w:t>5</w:t>
          </w:r>
          <w:bookmarkEnd w:id="3"/>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_Toc9663_WPSOffice_Level2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0a3bda47-ece4-44c2-8e1f-96ac9c722a89}"/>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（二）实施目的及依据</w:t>
              </w:r>
            </w:sdtContent>
          </w:sdt>
          <w:r>
            <w:rPr>
              <w:rFonts w:hint="eastAsia" w:ascii="宋体" w:hAnsi="宋体" w:eastAsia="宋体" w:cs="宋体"/>
              <w:sz w:val="24"/>
              <w:szCs w:val="24"/>
            </w:rPr>
            <w:tab/>
          </w:r>
          <w:bookmarkStart w:id="4" w:name="_Toc9663_WPSOffice_Level2Page"/>
          <w:r>
            <w:rPr>
              <w:rFonts w:hint="eastAsia" w:ascii="宋体" w:hAnsi="宋体" w:eastAsia="宋体" w:cs="宋体"/>
              <w:sz w:val="24"/>
              <w:szCs w:val="24"/>
            </w:rPr>
            <w:t>6</w:t>
          </w:r>
          <w:bookmarkEnd w:id="4"/>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_Toc18258_WPSOffice_Level2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827fd0b2-e0b9-40d2-bb93-dc364f6f2f8f}"/>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（三）预算安排及使用情况</w:t>
              </w:r>
            </w:sdtContent>
          </w:sdt>
          <w:r>
            <w:rPr>
              <w:rFonts w:hint="eastAsia" w:ascii="宋体" w:hAnsi="宋体" w:eastAsia="宋体" w:cs="宋体"/>
              <w:sz w:val="24"/>
              <w:szCs w:val="24"/>
            </w:rPr>
            <w:tab/>
          </w:r>
          <w:bookmarkStart w:id="5" w:name="_Toc18258_WPSOffice_Level2Page"/>
          <w:r>
            <w:rPr>
              <w:rFonts w:hint="eastAsia" w:ascii="宋体" w:hAnsi="宋体" w:eastAsia="宋体" w:cs="宋体"/>
              <w:sz w:val="24"/>
              <w:szCs w:val="24"/>
            </w:rPr>
            <w:t>6</w:t>
          </w:r>
          <w:bookmarkEnd w:id="5"/>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_Toc14947_WPSOffice_Level2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b0b4cd43-2e47-4f99-a27a-114de7d8229f}"/>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（四）实施内容</w:t>
              </w:r>
              <w:r>
                <w:rPr>
                  <w:rFonts w:hint="eastAsia" w:ascii="宋体" w:hAnsi="宋体" w:cs="宋体"/>
                  <w:sz w:val="24"/>
                  <w:szCs w:val="24"/>
                  <w:lang w:val="en-US" w:eastAsia="zh-CN"/>
                </w:rPr>
                <w:t xml:space="preserve"> </w:t>
              </w:r>
            </w:sdtContent>
          </w:sdt>
          <w:r>
            <w:rPr>
              <w:rFonts w:hint="eastAsia" w:ascii="宋体" w:hAnsi="宋体" w:eastAsia="宋体" w:cs="宋体"/>
              <w:sz w:val="24"/>
              <w:szCs w:val="24"/>
            </w:rPr>
            <w:tab/>
          </w:r>
          <w:bookmarkStart w:id="6" w:name="_Toc14947_WPSOffice_Level2Page"/>
          <w:r>
            <w:rPr>
              <w:rFonts w:hint="eastAsia" w:ascii="宋体" w:hAnsi="宋体" w:eastAsia="宋体" w:cs="宋体"/>
              <w:sz w:val="24"/>
              <w:szCs w:val="24"/>
            </w:rPr>
            <w:t>8</w:t>
          </w:r>
          <w:bookmarkEnd w:id="6"/>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_Toc22531_WPSOffice_Level2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0af4ede7-5961-4ffd-be31-100e49f216bc}"/>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（五）绩效目标设立情况</w:t>
              </w:r>
            </w:sdtContent>
          </w:sdt>
          <w:r>
            <w:rPr>
              <w:rFonts w:hint="eastAsia" w:ascii="宋体" w:hAnsi="宋体" w:eastAsia="宋体" w:cs="宋体"/>
              <w:sz w:val="24"/>
              <w:szCs w:val="24"/>
            </w:rPr>
            <w:tab/>
          </w:r>
          <w:bookmarkStart w:id="7" w:name="_Toc22531_WPSOffice_Level2Page"/>
          <w:r>
            <w:rPr>
              <w:rFonts w:hint="eastAsia" w:ascii="宋体" w:hAnsi="宋体" w:eastAsia="宋体" w:cs="宋体"/>
              <w:sz w:val="24"/>
              <w:szCs w:val="24"/>
            </w:rPr>
            <w:t>9</w:t>
          </w:r>
          <w:bookmarkEnd w:id="7"/>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_Toc24604_WPSOffice_Level2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31131479-f995-49d1-b42d-caa8f9e8cedf}"/>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（六）组织管理情况</w:t>
              </w:r>
            </w:sdtContent>
          </w:sdt>
          <w:r>
            <w:rPr>
              <w:rFonts w:hint="eastAsia" w:ascii="宋体" w:hAnsi="宋体" w:eastAsia="宋体" w:cs="宋体"/>
              <w:sz w:val="24"/>
              <w:szCs w:val="24"/>
            </w:rPr>
            <w:tab/>
          </w:r>
          <w:bookmarkStart w:id="8" w:name="_Toc24604_WPSOffice_Level2Page"/>
          <w:r>
            <w:rPr>
              <w:rFonts w:hint="eastAsia" w:ascii="宋体" w:hAnsi="宋体" w:eastAsia="宋体" w:cs="宋体"/>
              <w:sz w:val="24"/>
              <w:szCs w:val="24"/>
            </w:rPr>
            <w:t>10</w:t>
          </w:r>
          <w:bookmarkEnd w:id="8"/>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_Toc14947_WPSOffice_Level1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d5135704-2df7-4792-9779-f11b08a2ea26}"/>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二、绩效自评情况</w:t>
              </w:r>
            </w:sdtContent>
          </w:sdt>
          <w:r>
            <w:rPr>
              <w:rFonts w:hint="eastAsia" w:ascii="宋体" w:hAnsi="宋体" w:eastAsia="宋体" w:cs="宋体"/>
              <w:b/>
              <w:bCs/>
              <w:sz w:val="24"/>
              <w:szCs w:val="24"/>
            </w:rPr>
            <w:tab/>
          </w:r>
          <w:bookmarkStart w:id="9" w:name="_Toc14947_WPSOffice_Level1Page"/>
          <w:r>
            <w:rPr>
              <w:rFonts w:hint="eastAsia" w:ascii="宋体" w:hAnsi="宋体" w:eastAsia="宋体" w:cs="宋体"/>
              <w:b/>
              <w:bCs/>
              <w:sz w:val="24"/>
              <w:szCs w:val="24"/>
            </w:rPr>
            <w:t>11</w:t>
          </w:r>
          <w:bookmarkEnd w:id="9"/>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_Toc5272_WPSOffice_Level2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5c2aa690-82ff-4335-a420-1de765627da4}"/>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（一）绩效自评概述</w:t>
              </w:r>
            </w:sdtContent>
          </w:sdt>
          <w:r>
            <w:rPr>
              <w:rFonts w:hint="eastAsia" w:ascii="宋体" w:hAnsi="宋体" w:eastAsia="宋体" w:cs="宋体"/>
              <w:sz w:val="24"/>
              <w:szCs w:val="24"/>
            </w:rPr>
            <w:tab/>
          </w:r>
          <w:bookmarkStart w:id="10" w:name="_Toc5272_WPSOffice_Level2Page"/>
          <w:r>
            <w:rPr>
              <w:rFonts w:hint="eastAsia" w:ascii="宋体" w:hAnsi="宋体" w:eastAsia="宋体" w:cs="宋体"/>
              <w:sz w:val="24"/>
              <w:szCs w:val="24"/>
            </w:rPr>
            <w:t>11</w:t>
          </w:r>
          <w:bookmarkEnd w:id="10"/>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_Toc446_WPSOffice_Level2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561cf685-609a-4f2a-a98a-c0e0f2cb111e}"/>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（二）绩效自评结论</w:t>
              </w:r>
            </w:sdtContent>
          </w:sdt>
          <w:r>
            <w:rPr>
              <w:rFonts w:hint="eastAsia" w:ascii="宋体" w:hAnsi="宋体" w:eastAsia="宋体" w:cs="宋体"/>
              <w:sz w:val="24"/>
              <w:szCs w:val="24"/>
            </w:rPr>
            <w:tab/>
          </w:r>
          <w:bookmarkStart w:id="11" w:name="_Toc446_WPSOffice_Level2Page"/>
          <w:r>
            <w:rPr>
              <w:rFonts w:hint="eastAsia" w:ascii="宋体" w:hAnsi="宋体" w:eastAsia="宋体" w:cs="宋体"/>
              <w:sz w:val="24"/>
              <w:szCs w:val="24"/>
            </w:rPr>
            <w:t>12</w:t>
          </w:r>
          <w:bookmarkEnd w:id="11"/>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_Toc22531_WPSOffice_Level1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ac351579-a8bb-4d4b-95cd-42446a6d4fda}"/>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三、绩效再评价组织情况</w:t>
              </w:r>
            </w:sdtContent>
          </w:sdt>
          <w:r>
            <w:rPr>
              <w:rFonts w:hint="eastAsia" w:ascii="宋体" w:hAnsi="宋体" w:eastAsia="宋体" w:cs="宋体"/>
              <w:b/>
              <w:bCs/>
              <w:sz w:val="24"/>
              <w:szCs w:val="24"/>
            </w:rPr>
            <w:tab/>
          </w:r>
          <w:bookmarkStart w:id="12" w:name="_Toc22531_WPSOffice_Level1Page"/>
          <w:r>
            <w:rPr>
              <w:rFonts w:hint="eastAsia" w:ascii="宋体" w:hAnsi="宋体" w:eastAsia="宋体" w:cs="宋体"/>
              <w:b/>
              <w:bCs/>
              <w:sz w:val="24"/>
              <w:szCs w:val="24"/>
            </w:rPr>
            <w:t>12</w:t>
          </w:r>
          <w:bookmarkEnd w:id="12"/>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_Toc1967_WPSOffice_Level2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a72a7254-a5c5-4760-b0b7-32aad048f18b}"/>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（一）绩效再评价依据</w:t>
              </w:r>
            </w:sdtContent>
          </w:sdt>
          <w:r>
            <w:rPr>
              <w:rFonts w:hint="eastAsia" w:ascii="宋体" w:hAnsi="宋体" w:eastAsia="宋体" w:cs="宋体"/>
              <w:sz w:val="24"/>
              <w:szCs w:val="24"/>
            </w:rPr>
            <w:tab/>
          </w:r>
          <w:bookmarkStart w:id="13" w:name="_Toc1967_WPSOffice_Level2Page"/>
          <w:r>
            <w:rPr>
              <w:rFonts w:hint="eastAsia" w:ascii="宋体" w:hAnsi="宋体" w:eastAsia="宋体" w:cs="宋体"/>
              <w:sz w:val="24"/>
              <w:szCs w:val="24"/>
            </w:rPr>
            <w:t>12</w:t>
          </w:r>
          <w:bookmarkEnd w:id="13"/>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_Toc1568_WPSOffice_Level2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8b345867-9699-4aa0-bd3b-2423e9503e2a}"/>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（二）绩效再评价方法</w:t>
              </w:r>
            </w:sdtContent>
          </w:sdt>
          <w:r>
            <w:rPr>
              <w:rFonts w:hint="eastAsia" w:ascii="宋体" w:hAnsi="宋体" w:eastAsia="宋体" w:cs="宋体"/>
              <w:sz w:val="24"/>
              <w:szCs w:val="24"/>
            </w:rPr>
            <w:tab/>
          </w:r>
          <w:bookmarkStart w:id="14" w:name="_Toc1568_WPSOffice_Level2Page"/>
          <w:r>
            <w:rPr>
              <w:rFonts w:hint="eastAsia" w:ascii="宋体" w:hAnsi="宋体" w:eastAsia="宋体" w:cs="宋体"/>
              <w:sz w:val="24"/>
              <w:szCs w:val="24"/>
            </w:rPr>
            <w:t>13</w:t>
          </w:r>
          <w:bookmarkEnd w:id="14"/>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_Toc12459_WPSOffice_Level2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be8e3c59-4c62-41d2-b718-68b5b6d330a3}"/>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（三）绩效再评价指标体系</w:t>
              </w:r>
            </w:sdtContent>
          </w:sdt>
          <w:r>
            <w:rPr>
              <w:rFonts w:hint="eastAsia" w:ascii="宋体" w:hAnsi="宋体" w:eastAsia="宋体" w:cs="宋体"/>
              <w:sz w:val="24"/>
              <w:szCs w:val="24"/>
            </w:rPr>
            <w:tab/>
          </w:r>
          <w:bookmarkStart w:id="15" w:name="_Toc12459_WPSOffice_Level2Page"/>
          <w:r>
            <w:rPr>
              <w:rFonts w:hint="eastAsia" w:ascii="宋体" w:hAnsi="宋体" w:eastAsia="宋体" w:cs="宋体"/>
              <w:sz w:val="24"/>
              <w:szCs w:val="24"/>
            </w:rPr>
            <w:t>14</w:t>
          </w:r>
          <w:bookmarkEnd w:id="15"/>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_Toc31583_WPSOffice_Level2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88da8295-1a24-4705-9320-236f9b32dc06}"/>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（四）绩效再评价抽样</w:t>
              </w:r>
            </w:sdtContent>
          </w:sdt>
          <w:r>
            <w:rPr>
              <w:rFonts w:hint="eastAsia" w:ascii="宋体" w:hAnsi="宋体" w:eastAsia="宋体" w:cs="宋体"/>
              <w:sz w:val="24"/>
              <w:szCs w:val="24"/>
            </w:rPr>
            <w:tab/>
          </w:r>
          <w:bookmarkStart w:id="16" w:name="_Toc31583_WPSOffice_Level2Page"/>
          <w:r>
            <w:rPr>
              <w:rFonts w:hint="eastAsia" w:ascii="宋体" w:hAnsi="宋体" w:eastAsia="宋体" w:cs="宋体"/>
              <w:sz w:val="24"/>
              <w:szCs w:val="24"/>
            </w:rPr>
            <w:t>16</w:t>
          </w:r>
          <w:bookmarkEnd w:id="16"/>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_Toc24604_WPSOffice_Level1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e29f2408-7915-40e3-a4ce-6ac0e2f00ce3}"/>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四、绩效再评价结论</w:t>
              </w:r>
            </w:sdtContent>
          </w:sdt>
          <w:r>
            <w:rPr>
              <w:rFonts w:hint="eastAsia" w:ascii="宋体" w:hAnsi="宋体" w:eastAsia="宋体" w:cs="宋体"/>
              <w:b/>
              <w:bCs/>
              <w:sz w:val="24"/>
              <w:szCs w:val="24"/>
            </w:rPr>
            <w:tab/>
          </w:r>
          <w:bookmarkStart w:id="17" w:name="_Toc24604_WPSOffice_Level1Page"/>
          <w:r>
            <w:rPr>
              <w:rFonts w:hint="eastAsia" w:ascii="宋体" w:hAnsi="宋体" w:eastAsia="宋体" w:cs="宋体"/>
              <w:b/>
              <w:bCs/>
              <w:sz w:val="24"/>
              <w:szCs w:val="24"/>
            </w:rPr>
            <w:t>16</w:t>
          </w:r>
          <w:bookmarkEnd w:id="17"/>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_Toc18548_WPSOffice_Level2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fffdc8d4-785c-41b5-84f7-95aa1178e07a}"/>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（一）绩效再评价综合结论</w:t>
              </w:r>
            </w:sdtContent>
          </w:sdt>
          <w:r>
            <w:rPr>
              <w:rFonts w:hint="eastAsia" w:ascii="宋体" w:hAnsi="宋体" w:eastAsia="宋体" w:cs="宋体"/>
              <w:sz w:val="24"/>
              <w:szCs w:val="24"/>
            </w:rPr>
            <w:tab/>
          </w:r>
          <w:bookmarkStart w:id="18" w:name="_Toc18548_WPSOffice_Level2Page"/>
          <w:r>
            <w:rPr>
              <w:rFonts w:hint="eastAsia" w:ascii="宋体" w:hAnsi="宋体" w:eastAsia="宋体" w:cs="宋体"/>
              <w:sz w:val="24"/>
              <w:szCs w:val="24"/>
            </w:rPr>
            <w:t>16</w:t>
          </w:r>
          <w:bookmarkEnd w:id="18"/>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_Toc29975_WPSOffice_Level2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e384499f-05eb-4149-8b01-8ac3f25bb980}"/>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（二）绩效目标实现情况</w:t>
              </w:r>
            </w:sdtContent>
          </w:sdt>
          <w:r>
            <w:rPr>
              <w:rFonts w:hint="eastAsia" w:ascii="宋体" w:hAnsi="宋体" w:eastAsia="宋体" w:cs="宋体"/>
              <w:sz w:val="24"/>
              <w:szCs w:val="24"/>
            </w:rPr>
            <w:tab/>
          </w:r>
          <w:bookmarkStart w:id="19" w:name="_Toc29975_WPSOffice_Level2Page"/>
          <w:r>
            <w:rPr>
              <w:rFonts w:hint="eastAsia" w:ascii="宋体" w:hAnsi="宋体" w:eastAsia="宋体" w:cs="宋体"/>
              <w:sz w:val="24"/>
              <w:szCs w:val="24"/>
            </w:rPr>
            <w:t>17</w:t>
          </w:r>
          <w:bookmarkEnd w:id="19"/>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_Toc8511_WPSOffice_Level2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0a8f5ee8-fa9e-4005-83be-df041845e643}"/>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（三）绩效自评与再评价差异分析</w:t>
              </w:r>
            </w:sdtContent>
          </w:sdt>
          <w:r>
            <w:rPr>
              <w:rFonts w:hint="eastAsia" w:ascii="宋体" w:hAnsi="宋体" w:eastAsia="宋体" w:cs="宋体"/>
              <w:sz w:val="24"/>
              <w:szCs w:val="24"/>
            </w:rPr>
            <w:tab/>
          </w:r>
          <w:bookmarkStart w:id="20" w:name="_Toc8511_WPSOffice_Level2Page"/>
          <w:r>
            <w:rPr>
              <w:rFonts w:hint="eastAsia" w:ascii="宋体" w:hAnsi="宋体" w:eastAsia="宋体" w:cs="宋体"/>
              <w:sz w:val="24"/>
              <w:szCs w:val="24"/>
            </w:rPr>
            <w:t>18</w:t>
          </w:r>
          <w:bookmarkEnd w:id="20"/>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_Toc5272_WPSOffice_Level1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996f37fa-2a0f-4ffe-80f3-9ffaa5fb031e}"/>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五、绩效再评价情况分析</w:t>
              </w:r>
            </w:sdtContent>
          </w:sdt>
          <w:r>
            <w:rPr>
              <w:rFonts w:hint="eastAsia" w:ascii="宋体" w:hAnsi="宋体" w:eastAsia="宋体" w:cs="宋体"/>
              <w:b/>
              <w:bCs/>
              <w:sz w:val="24"/>
              <w:szCs w:val="24"/>
            </w:rPr>
            <w:tab/>
          </w:r>
          <w:bookmarkStart w:id="21" w:name="_Toc5272_WPSOffice_Level1Page"/>
          <w:r>
            <w:rPr>
              <w:rFonts w:hint="eastAsia" w:ascii="宋体" w:hAnsi="宋体" w:eastAsia="宋体" w:cs="宋体"/>
              <w:b/>
              <w:bCs/>
              <w:sz w:val="24"/>
              <w:szCs w:val="24"/>
            </w:rPr>
            <w:t>19</w:t>
          </w:r>
          <w:bookmarkEnd w:id="21"/>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_Toc32132_WPSOffice_Level2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1c363158-97bc-4718-b0e6-ccf674de33a6}"/>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（一）投入情况分析</w:t>
              </w:r>
            </w:sdtContent>
          </w:sdt>
          <w:r>
            <w:rPr>
              <w:rFonts w:hint="eastAsia" w:ascii="宋体" w:hAnsi="宋体" w:eastAsia="宋体" w:cs="宋体"/>
              <w:sz w:val="24"/>
              <w:szCs w:val="24"/>
            </w:rPr>
            <w:tab/>
          </w:r>
          <w:bookmarkStart w:id="22" w:name="_Toc32132_WPSOffice_Level2Page"/>
          <w:r>
            <w:rPr>
              <w:rFonts w:hint="eastAsia" w:ascii="宋体" w:hAnsi="宋体" w:eastAsia="宋体" w:cs="宋体"/>
              <w:sz w:val="24"/>
              <w:szCs w:val="24"/>
            </w:rPr>
            <w:t>19</w:t>
          </w:r>
          <w:bookmarkEnd w:id="22"/>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_Toc8622_WPSOffice_Level2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9460f82f-d465-40ae-9ade-52acbf0d8a3a}"/>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（二）过程情况分析</w:t>
              </w:r>
            </w:sdtContent>
          </w:sdt>
          <w:r>
            <w:rPr>
              <w:rFonts w:hint="eastAsia" w:ascii="宋体" w:hAnsi="宋体" w:eastAsia="宋体" w:cs="宋体"/>
              <w:sz w:val="24"/>
              <w:szCs w:val="24"/>
            </w:rPr>
            <w:tab/>
          </w:r>
          <w:bookmarkStart w:id="23" w:name="_Toc8622_WPSOffice_Level2Page"/>
          <w:r>
            <w:rPr>
              <w:rFonts w:hint="eastAsia" w:ascii="宋体" w:hAnsi="宋体" w:eastAsia="宋体" w:cs="宋体"/>
              <w:sz w:val="24"/>
              <w:szCs w:val="24"/>
            </w:rPr>
            <w:t>22</w:t>
          </w:r>
          <w:bookmarkEnd w:id="23"/>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_Toc14516_WPSOffice_Level2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216b4c46-167b-44c3-b2ba-3b8a6ff8ab32}"/>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（三）产出情况分析</w:t>
              </w:r>
            </w:sdtContent>
          </w:sdt>
          <w:r>
            <w:rPr>
              <w:rFonts w:hint="eastAsia" w:ascii="宋体" w:hAnsi="宋体" w:eastAsia="宋体" w:cs="宋体"/>
              <w:sz w:val="24"/>
              <w:szCs w:val="24"/>
            </w:rPr>
            <w:tab/>
          </w:r>
          <w:bookmarkStart w:id="24" w:name="_Toc14516_WPSOffice_Level2Page"/>
          <w:r>
            <w:rPr>
              <w:rFonts w:hint="eastAsia" w:ascii="宋体" w:hAnsi="宋体" w:eastAsia="宋体" w:cs="宋体"/>
              <w:sz w:val="24"/>
              <w:szCs w:val="24"/>
            </w:rPr>
            <w:t>24</w:t>
          </w:r>
          <w:bookmarkEnd w:id="24"/>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_Toc7617_WPSOffice_Level2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0ed8643c-1f44-4ccf-a181-77b291889a6b}"/>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（四）效果情况分析</w:t>
              </w:r>
            </w:sdtContent>
          </w:sdt>
          <w:r>
            <w:rPr>
              <w:rFonts w:hint="eastAsia" w:ascii="宋体" w:hAnsi="宋体" w:eastAsia="宋体" w:cs="宋体"/>
              <w:sz w:val="24"/>
              <w:szCs w:val="24"/>
            </w:rPr>
            <w:tab/>
          </w:r>
          <w:bookmarkStart w:id="25" w:name="_Toc7617_WPSOffice_Level2Page"/>
          <w:r>
            <w:rPr>
              <w:rFonts w:hint="eastAsia" w:ascii="宋体" w:hAnsi="宋体" w:eastAsia="宋体" w:cs="宋体"/>
              <w:sz w:val="24"/>
              <w:szCs w:val="24"/>
            </w:rPr>
            <w:t>28</w:t>
          </w:r>
          <w:bookmarkEnd w:id="25"/>
          <w:r>
            <w:rPr>
              <w:rFonts w:hint="eastAsia" w:ascii="宋体" w:hAnsi="宋体" w:eastAsia="宋体" w:cs="宋体"/>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_Toc446_WPSOffice_Level1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0649913f-e32a-42fb-b7e2-2a95702b77bf}"/>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六、工程项目审核情况</w:t>
              </w:r>
            </w:sdtContent>
          </w:sdt>
          <w:r>
            <w:rPr>
              <w:rFonts w:hint="eastAsia" w:ascii="宋体" w:hAnsi="宋体" w:eastAsia="宋体" w:cs="宋体"/>
              <w:b/>
              <w:bCs/>
              <w:sz w:val="24"/>
              <w:szCs w:val="24"/>
            </w:rPr>
            <w:tab/>
          </w:r>
          <w:bookmarkStart w:id="26" w:name="_Toc446_WPSOffice_Level1Page"/>
          <w:r>
            <w:rPr>
              <w:rFonts w:hint="eastAsia" w:ascii="宋体" w:hAnsi="宋体" w:eastAsia="宋体" w:cs="宋体"/>
              <w:b/>
              <w:bCs/>
              <w:sz w:val="24"/>
              <w:szCs w:val="24"/>
            </w:rPr>
            <w:t>30</w:t>
          </w:r>
          <w:bookmarkEnd w:id="26"/>
          <w:r>
            <w:rPr>
              <w:rFonts w:hint="eastAsia" w:ascii="宋体" w:hAnsi="宋体" w:eastAsia="宋体" w:cs="宋体"/>
              <w:b/>
              <w:bCs/>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_Toc1967_WPSOffice_Level1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30d32830-9488-491a-ae27-0cf49c153c9d}"/>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七、存在问题及原因分析</w:t>
              </w:r>
            </w:sdtContent>
          </w:sdt>
          <w:r>
            <w:rPr>
              <w:rFonts w:hint="eastAsia" w:ascii="宋体" w:hAnsi="宋体" w:eastAsia="宋体" w:cs="宋体"/>
              <w:b/>
              <w:bCs/>
              <w:sz w:val="24"/>
              <w:szCs w:val="24"/>
            </w:rPr>
            <w:tab/>
          </w:r>
          <w:bookmarkStart w:id="27" w:name="_Toc1967_WPSOffice_Level1Page"/>
          <w:r>
            <w:rPr>
              <w:rFonts w:hint="eastAsia" w:ascii="宋体" w:hAnsi="宋体" w:eastAsia="宋体" w:cs="宋体"/>
              <w:b/>
              <w:bCs/>
              <w:sz w:val="24"/>
              <w:szCs w:val="24"/>
            </w:rPr>
            <w:t>30</w:t>
          </w:r>
          <w:bookmarkEnd w:id="27"/>
          <w:r>
            <w:rPr>
              <w:rFonts w:hint="eastAsia" w:ascii="宋体" w:hAnsi="宋体" w:eastAsia="宋体" w:cs="宋体"/>
              <w:b/>
              <w:bCs/>
              <w:sz w:val="24"/>
              <w:szCs w:val="24"/>
            </w:rPr>
            <w:fldChar w:fldCharType="end"/>
          </w:r>
        </w:p>
        <w:p>
          <w:pPr>
            <w:pStyle w:val="41"/>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b/>
              <w:bCs/>
              <w:sz w:val="24"/>
              <w:szCs w:val="24"/>
            </w:rPr>
            <w:fldChar w:fldCharType="begin"/>
          </w:r>
          <w:r>
            <w:rPr>
              <w:rFonts w:hint="eastAsia" w:ascii="宋体" w:hAnsi="宋体" w:eastAsia="宋体" w:cs="宋体"/>
              <w:sz w:val="24"/>
              <w:szCs w:val="24"/>
            </w:rPr>
            <w:instrText xml:space="preserve"> HYPERLINK \l _Toc1568_WPSOffice_Level1 </w:instrText>
          </w:r>
          <w:r>
            <w:rPr>
              <w:rFonts w:hint="eastAsia" w:ascii="宋体" w:hAnsi="宋体" w:eastAsia="宋体" w:cs="宋体"/>
              <w:b/>
              <w:bCs/>
              <w:sz w:val="24"/>
              <w:szCs w:val="24"/>
            </w:rPr>
            <w:fldChar w:fldCharType="separate"/>
          </w:r>
          <w:sdt>
            <w:sdtPr>
              <w:rPr>
                <w:rFonts w:hint="eastAsia" w:ascii="宋体" w:hAnsi="宋体" w:eastAsia="宋体" w:cs="宋体"/>
                <w:b/>
                <w:bCs/>
                <w:kern w:val="30"/>
                <w:sz w:val="24"/>
                <w:szCs w:val="24"/>
                <w:lang w:val="en-US" w:eastAsia="zh-CN" w:bidi="ar-SA"/>
              </w:rPr>
              <w:id w:val="147469675"/>
              <w:placeholder>
                <w:docPart w:val="{c7cf9b57-179a-445e-8939-5e15d588fa11}"/>
              </w:placeholder>
              <w15:color w:val="509DF3"/>
            </w:sdtPr>
            <w:sdtEndPr>
              <w:rPr>
                <w:rFonts w:hint="eastAsia" w:ascii="宋体" w:hAnsi="宋体" w:eastAsia="宋体" w:cs="宋体"/>
                <w:b/>
                <w:bCs/>
                <w:kern w:val="30"/>
                <w:sz w:val="24"/>
                <w:szCs w:val="24"/>
                <w:lang w:val="en-US" w:eastAsia="zh-CN" w:bidi="ar-SA"/>
              </w:rPr>
            </w:sdtEndPr>
            <w:sdtContent>
              <w:r>
                <w:rPr>
                  <w:rFonts w:hint="eastAsia" w:ascii="宋体" w:hAnsi="宋体" w:eastAsia="宋体" w:cs="宋体"/>
                  <w:b/>
                  <w:bCs/>
                  <w:sz w:val="24"/>
                  <w:szCs w:val="24"/>
                </w:rPr>
                <w:t>八、建议</w:t>
              </w:r>
            </w:sdtContent>
          </w:sdt>
          <w:r>
            <w:rPr>
              <w:rFonts w:hint="eastAsia" w:ascii="宋体" w:hAnsi="宋体" w:eastAsia="宋体" w:cs="宋体"/>
              <w:b/>
              <w:bCs/>
              <w:sz w:val="24"/>
              <w:szCs w:val="24"/>
            </w:rPr>
            <w:tab/>
          </w:r>
          <w:bookmarkStart w:id="28" w:name="_Toc1568_WPSOffice_Level1Page"/>
          <w:r>
            <w:rPr>
              <w:rFonts w:hint="eastAsia" w:ascii="宋体" w:hAnsi="宋体" w:eastAsia="宋体" w:cs="宋体"/>
              <w:b/>
              <w:bCs/>
              <w:sz w:val="24"/>
              <w:szCs w:val="24"/>
            </w:rPr>
            <w:t>34</w:t>
          </w:r>
          <w:bookmarkEnd w:id="28"/>
          <w:r>
            <w:rPr>
              <w:rFonts w:hint="eastAsia" w:ascii="宋体" w:hAnsi="宋体" w:eastAsia="宋体" w:cs="宋体"/>
              <w:b/>
              <w:bCs/>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_Toc20181_WPSOffice_Level2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174f43f0-ad76-4286-b462-51b42933bd12}"/>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（一）及时收回项目结余资金，加强资金绩效管理。</w:t>
              </w:r>
            </w:sdtContent>
          </w:sdt>
          <w:r>
            <w:rPr>
              <w:rFonts w:hint="eastAsia" w:ascii="宋体" w:hAnsi="宋体" w:eastAsia="宋体" w:cs="宋体"/>
              <w:sz w:val="24"/>
              <w:szCs w:val="24"/>
            </w:rPr>
            <w:tab/>
          </w:r>
          <w:bookmarkStart w:id="29" w:name="_Toc20181_WPSOffice_Level2Page"/>
          <w:r>
            <w:rPr>
              <w:rFonts w:hint="eastAsia" w:ascii="宋体" w:hAnsi="宋体" w:eastAsia="宋体" w:cs="宋体"/>
              <w:sz w:val="24"/>
              <w:szCs w:val="24"/>
            </w:rPr>
            <w:t>34</w:t>
          </w:r>
          <w:bookmarkEnd w:id="29"/>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_Toc2238_WPSOffice_Level2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9bf93b60-c718-4bd2-b087-887a05c323e4}"/>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（二）提高项目管理有效性，积极项目整改工作，做实基础工作</w:t>
              </w:r>
            </w:sdtContent>
          </w:sdt>
          <w:r>
            <w:rPr>
              <w:rFonts w:hint="eastAsia" w:ascii="宋体" w:hAnsi="宋体" w:eastAsia="宋体" w:cs="宋体"/>
              <w:sz w:val="24"/>
              <w:szCs w:val="24"/>
            </w:rPr>
            <w:tab/>
          </w:r>
          <w:bookmarkStart w:id="30" w:name="_Toc2238_WPSOffice_Level2Page"/>
          <w:r>
            <w:rPr>
              <w:rFonts w:hint="eastAsia" w:ascii="宋体" w:hAnsi="宋体" w:eastAsia="宋体" w:cs="宋体"/>
              <w:sz w:val="24"/>
              <w:szCs w:val="24"/>
            </w:rPr>
            <w:t>35</w:t>
          </w:r>
          <w:bookmarkEnd w:id="30"/>
          <w:r>
            <w:rPr>
              <w:rFonts w:hint="eastAsia" w:ascii="宋体" w:hAnsi="宋体" w:eastAsia="宋体" w:cs="宋体"/>
              <w:sz w:val="24"/>
              <w:szCs w:val="24"/>
            </w:rPr>
            <w:fldChar w:fldCharType="end"/>
          </w:r>
        </w:p>
        <w:p>
          <w:pPr>
            <w:pStyle w:val="42"/>
            <w:keepNext w:val="0"/>
            <w:keepLines w:val="0"/>
            <w:pageBreakBefore w:val="0"/>
            <w:tabs>
              <w:tab w:val="right" w:leader="dot" w:pos="8844"/>
            </w:tabs>
            <w:kinsoku/>
            <w:wordWrap/>
            <w:overflowPunct/>
            <w:topLinePunct w:val="0"/>
            <w:autoSpaceDE/>
            <w:autoSpaceDN/>
            <w:bidi w:val="0"/>
            <w:adjustRightInd w:val="0"/>
            <w:snapToGrid w:val="0"/>
            <w:textAlignment w:val="auto"/>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_Toc18050_WPSOffice_Level2 </w:instrText>
          </w:r>
          <w:r>
            <w:rPr>
              <w:rFonts w:hint="eastAsia" w:ascii="宋体" w:hAnsi="宋体" w:eastAsia="宋体" w:cs="宋体"/>
              <w:sz w:val="24"/>
              <w:szCs w:val="24"/>
            </w:rPr>
            <w:fldChar w:fldCharType="separate"/>
          </w:r>
          <w:sdt>
            <w:sdtPr>
              <w:rPr>
                <w:rFonts w:hint="eastAsia" w:ascii="宋体" w:hAnsi="宋体" w:eastAsia="宋体" w:cs="宋体"/>
                <w:kern w:val="30"/>
                <w:sz w:val="24"/>
                <w:szCs w:val="24"/>
                <w:lang w:val="en-US" w:eastAsia="zh-CN" w:bidi="ar-SA"/>
              </w:rPr>
              <w:id w:val="147469675"/>
              <w:placeholder>
                <w:docPart w:val="{caaa48a4-eb59-45ac-a1cd-f6b55352b9b4}"/>
              </w:placeholder>
              <w15:color w:val="509DF3"/>
            </w:sdtPr>
            <w:sdtEndPr>
              <w:rPr>
                <w:rFonts w:hint="eastAsia" w:ascii="宋体" w:hAnsi="宋体" w:eastAsia="宋体" w:cs="宋体"/>
                <w:kern w:val="30"/>
                <w:sz w:val="24"/>
                <w:szCs w:val="24"/>
                <w:lang w:val="en-US" w:eastAsia="zh-CN" w:bidi="ar-SA"/>
              </w:rPr>
            </w:sdtEndPr>
            <w:sdtContent>
              <w:r>
                <w:rPr>
                  <w:rFonts w:hint="eastAsia" w:ascii="宋体" w:hAnsi="宋体" w:eastAsia="宋体" w:cs="宋体"/>
                  <w:sz w:val="24"/>
                  <w:szCs w:val="24"/>
                </w:rPr>
                <w:t>（三）加强监督检查的深度和广度</w:t>
              </w:r>
            </w:sdtContent>
          </w:sdt>
          <w:r>
            <w:rPr>
              <w:rFonts w:hint="eastAsia" w:ascii="宋体" w:hAnsi="宋体" w:eastAsia="宋体" w:cs="宋体"/>
              <w:sz w:val="24"/>
              <w:szCs w:val="24"/>
            </w:rPr>
            <w:tab/>
          </w:r>
          <w:bookmarkStart w:id="31" w:name="_Toc18050_WPSOffice_Level2Page"/>
          <w:r>
            <w:rPr>
              <w:rFonts w:hint="eastAsia" w:ascii="宋体" w:hAnsi="宋体" w:eastAsia="宋体" w:cs="宋体"/>
              <w:sz w:val="24"/>
              <w:szCs w:val="24"/>
            </w:rPr>
            <w:t>36</w:t>
          </w:r>
          <w:bookmarkEnd w:id="31"/>
          <w:r>
            <w:rPr>
              <w:rFonts w:hint="eastAsia" w:ascii="宋体" w:hAnsi="宋体" w:eastAsia="宋体" w:cs="宋体"/>
              <w:sz w:val="24"/>
              <w:szCs w:val="24"/>
            </w:rPr>
            <w:fldChar w:fldCharType="end"/>
          </w:r>
          <w:bookmarkEnd w:id="0"/>
          <w:bookmarkStart w:id="32" w:name="_Toc18439_WPSOffice_Level1"/>
          <w:bookmarkStart w:id="33" w:name="_Toc7392_WPSOffice_Level1"/>
        </w:p>
      </w:sdtContent>
    </w:sdt>
    <w:p>
      <w:pPr>
        <w:spacing w:line="579" w:lineRule="exact"/>
        <w:jc w:val="center"/>
        <w:rPr>
          <w:rFonts w:hint="eastAsia" w:ascii="方正小标宋简体" w:eastAsia="方正小标宋简体"/>
          <w:sz w:val="44"/>
          <w:szCs w:val="44"/>
          <w:lang w:val="en-US" w:eastAsia="zh-CN"/>
        </w:rPr>
      </w:pPr>
    </w:p>
    <w:p>
      <w:pPr>
        <w:spacing w:line="579" w:lineRule="exact"/>
        <w:jc w:val="center"/>
        <w:rPr>
          <w:rFonts w:hint="eastAsia" w:ascii="方正小标宋简体" w:eastAsia="方正小标宋简体"/>
          <w:sz w:val="44"/>
          <w:szCs w:val="44"/>
          <w:lang w:val="en-US" w:eastAsia="zh-CN"/>
        </w:rPr>
      </w:pPr>
    </w:p>
    <w:p>
      <w:pPr>
        <w:spacing w:line="579" w:lineRule="exact"/>
        <w:jc w:val="center"/>
        <w:rPr>
          <w:rFonts w:hint="eastAsia" w:ascii="方正小标宋简体" w:eastAsia="方正小标宋简体"/>
          <w:sz w:val="44"/>
          <w:szCs w:val="44"/>
          <w:lang w:val="en-US" w:eastAsia="zh-CN"/>
        </w:rPr>
        <w:sectPr>
          <w:footerReference r:id="rId3" w:type="default"/>
          <w:footerReference r:id="rId4" w:type="even"/>
          <w:pgSz w:w="11906" w:h="16838"/>
          <w:pgMar w:top="2098" w:right="1474" w:bottom="1985" w:left="1588" w:header="851" w:footer="1474" w:gutter="0"/>
          <w:pgNumType w:start="1"/>
          <w:cols w:space="425" w:num="1"/>
          <w:docGrid w:type="linesAndChars" w:linePitch="579" w:charSpace="3247"/>
        </w:sectPr>
      </w:pPr>
    </w:p>
    <w:p>
      <w:pPr>
        <w:spacing w:line="579" w:lineRule="exact"/>
        <w:jc w:val="center"/>
      </w:pPr>
      <w:r>
        <w:rPr>
          <w:rFonts w:hint="eastAsia" w:ascii="方正小标宋简体" w:eastAsia="方正小标宋简体"/>
          <w:sz w:val="44"/>
          <w:szCs w:val="44"/>
          <w:lang w:val="en-US" w:eastAsia="zh-CN"/>
        </w:rPr>
        <w:t>摘 要</w:t>
      </w:r>
      <w:bookmarkEnd w:id="32"/>
    </w:p>
    <w:p>
      <w:pPr>
        <w:spacing w:line="579" w:lineRule="exact"/>
        <w:ind w:firstLine="630" w:firstLineChars="200"/>
        <w:outlineLvl w:val="1"/>
        <w:rPr>
          <w:rFonts w:hint="eastAsia" w:ascii="黑体" w:hAnsi="黑体" w:eastAsia="黑体" w:cs="黑体"/>
          <w:szCs w:val="30"/>
        </w:rPr>
      </w:pPr>
      <w:bookmarkStart w:id="34" w:name="_Toc5190_WPSOffice_Level2"/>
    </w:p>
    <w:p>
      <w:pPr>
        <w:ind w:firstLine="630" w:firstLineChars="200"/>
        <w:rPr>
          <w:rFonts w:hint="eastAsia" w:ascii="黑体" w:hAnsi="黑体" w:eastAsia="黑体" w:cs="黑体"/>
          <w:color w:val="000000" w:themeColor="text1"/>
          <w:szCs w:val="30"/>
          <w:lang w:val="en-US" w:eastAsia="zh-CN"/>
          <w14:textFill>
            <w14:solidFill>
              <w14:schemeClr w14:val="tx1"/>
            </w14:solidFill>
          </w14:textFill>
        </w:rPr>
      </w:pPr>
      <w:bookmarkStart w:id="35" w:name="_Toc11305_WPSOffice_Level1"/>
      <w:bookmarkStart w:id="36" w:name="_Toc19544_WPSOffice_Level1"/>
      <w:r>
        <w:rPr>
          <w:rFonts w:hint="eastAsia" w:ascii="黑体" w:hAnsi="黑体" w:eastAsia="黑体" w:cs="黑体"/>
          <w:color w:val="000000" w:themeColor="text1"/>
          <w:szCs w:val="30"/>
          <w:lang w:val="en-US" w:eastAsia="zh-CN"/>
          <w14:textFill>
            <w14:solidFill>
              <w14:schemeClr w14:val="tx1"/>
            </w14:solidFill>
          </w14:textFill>
        </w:rPr>
        <w:t>一、基本情况</w:t>
      </w:r>
      <w:bookmarkEnd w:id="35"/>
      <w:bookmarkEnd w:id="36"/>
    </w:p>
    <w:p>
      <w:pPr>
        <w:ind w:firstLine="630" w:firstLineChars="200"/>
        <w:rPr>
          <w:rFonts w:hint="eastAsia" w:hAnsi="仿宋"/>
          <w:szCs w:val="30"/>
        </w:rPr>
      </w:pPr>
      <w:r>
        <w:rPr>
          <w:rFonts w:hint="eastAsia" w:hAnsi="仿宋"/>
          <w:szCs w:val="30"/>
        </w:rPr>
        <w:t>为深入贯彻落实党中央、省、市关于脱贫攻坚的重大战略部署，确保完成建档立卡贫困户和“直过民族”户达到“两不愁，三保障”的脱贫目标，市扶贫办按照《玉溪市人民政府关于玉溪市建档立卡贫困户和“直过民族”户危房改造及“直过民族”整村推进项目实施方案的批复》（玉政复〔2017〕94号）精神，开展玉溪市4534户建档立卡贫困户和“直过民族”户进行D级危房拆除重建以及53个“直过民族”公共基础设施建设整村推进项目。</w:t>
      </w:r>
    </w:p>
    <w:p>
      <w:pPr>
        <w:ind w:firstLine="630" w:firstLineChars="200"/>
        <w:rPr>
          <w:rFonts w:hint="eastAsia" w:hAnsi="仿宋"/>
          <w:szCs w:val="30"/>
          <w:lang w:val="en-US" w:eastAsia="zh-CN"/>
        </w:rPr>
      </w:pPr>
      <w:r>
        <w:rPr>
          <w:rFonts w:hint="eastAsia" w:hAnsi="仿宋"/>
          <w:szCs w:val="30"/>
        </w:rPr>
        <w:t>截至评价日，建档立卡贫困户和“直过民族”户D级危房拆除重建</w:t>
      </w:r>
      <w:r>
        <w:rPr>
          <w:rFonts w:hint="eastAsia" w:hAnsi="仿宋"/>
          <w:szCs w:val="30"/>
          <w:lang w:val="en-US" w:eastAsia="zh-CN"/>
        </w:rPr>
        <w:t>计划完成</w:t>
      </w:r>
      <w:r>
        <w:rPr>
          <w:rFonts w:hint="eastAsia" w:hAnsi="仿宋"/>
          <w:szCs w:val="30"/>
        </w:rPr>
        <w:t>4534户</w:t>
      </w:r>
      <w:r>
        <w:rPr>
          <w:rFonts w:hint="eastAsia" w:hAnsi="仿宋"/>
          <w:szCs w:val="30"/>
          <w:lang w:eastAsia="zh-CN"/>
        </w:rPr>
        <w:t>，</w:t>
      </w:r>
      <w:r>
        <w:rPr>
          <w:rFonts w:hint="eastAsia" w:hAnsi="仿宋"/>
          <w:szCs w:val="30"/>
        </w:rPr>
        <w:t>实际完成3928户，完成率86.63%；“直过民族”整村推进</w:t>
      </w:r>
      <w:r>
        <w:rPr>
          <w:rFonts w:hint="eastAsia" w:hAnsi="仿宋"/>
          <w:szCs w:val="30"/>
          <w:lang w:val="en-US" w:eastAsia="zh-CN"/>
        </w:rPr>
        <w:t>计划完成53个村，</w:t>
      </w:r>
      <w:r>
        <w:rPr>
          <w:rFonts w:hint="eastAsia" w:hAnsi="仿宋"/>
          <w:szCs w:val="30"/>
        </w:rPr>
        <w:t>实际完成53个村，完成率100%</w:t>
      </w:r>
      <w:r>
        <w:rPr>
          <w:rFonts w:hint="eastAsia" w:hAnsi="仿宋"/>
          <w:szCs w:val="30"/>
          <w:lang w:eastAsia="zh-CN"/>
        </w:rPr>
        <w:t>。</w:t>
      </w:r>
      <w:r>
        <w:rPr>
          <w:rFonts w:hint="eastAsia" w:hAnsi="仿宋"/>
          <w:szCs w:val="30"/>
          <w:lang w:val="en-US" w:eastAsia="zh-CN"/>
        </w:rPr>
        <w:t xml:space="preserve"> </w:t>
      </w:r>
    </w:p>
    <w:p>
      <w:pPr>
        <w:ind w:firstLine="630" w:firstLineChars="200"/>
        <w:rPr>
          <w:rFonts w:hint="eastAsia" w:ascii="黑体" w:hAnsi="黑体" w:eastAsia="黑体" w:cs="黑体"/>
          <w:color w:val="000000" w:themeColor="text1"/>
          <w:szCs w:val="30"/>
          <w:lang w:val="en-US" w:eastAsia="zh-CN"/>
          <w14:textFill>
            <w14:solidFill>
              <w14:schemeClr w14:val="tx1"/>
            </w14:solidFill>
          </w14:textFill>
        </w:rPr>
      </w:pPr>
      <w:bookmarkStart w:id="37" w:name="_Toc15957_WPSOffice_Level1"/>
      <w:bookmarkStart w:id="38" w:name="_Toc31064_WPSOffice_Level1"/>
      <w:r>
        <w:rPr>
          <w:rFonts w:hint="eastAsia" w:ascii="黑体" w:hAnsi="黑体" w:eastAsia="黑体" w:cs="黑体"/>
          <w:color w:val="000000" w:themeColor="text1"/>
          <w:szCs w:val="30"/>
          <w:lang w:val="en-US" w:eastAsia="zh-CN"/>
          <w14:textFill>
            <w14:solidFill>
              <w14:schemeClr w14:val="tx1"/>
            </w14:solidFill>
          </w14:textFill>
        </w:rPr>
        <w:t>二、绩效再评价结论</w:t>
      </w:r>
      <w:bookmarkEnd w:id="34"/>
      <w:bookmarkEnd w:id="37"/>
      <w:bookmarkEnd w:id="38"/>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建档立卡贫困户和“直过民族”户危房改造及“直过民族”整村推进项目绩效再评价得分54</w:t>
      </w:r>
      <w:r>
        <w:rPr>
          <w:rFonts w:hint="eastAsia" w:hAnsi="仿宋"/>
          <w:color w:val="000000" w:themeColor="text1"/>
          <w:szCs w:val="30"/>
          <w:lang w:val="en-US" w:eastAsia="zh-CN"/>
          <w14:textFill>
            <w14:solidFill>
              <w14:schemeClr w14:val="tx1"/>
            </w14:solidFill>
          </w14:textFill>
        </w:rPr>
        <w:t>.85</w:t>
      </w:r>
      <w:r>
        <w:rPr>
          <w:rFonts w:hint="eastAsia" w:hAnsi="仿宋"/>
          <w:color w:val="000000" w:themeColor="text1"/>
          <w:szCs w:val="30"/>
          <w14:textFill>
            <w14:solidFill>
              <w14:schemeClr w14:val="tx1"/>
            </w14:solidFill>
          </w14:textFill>
        </w:rPr>
        <w:t>分，评价等级为“差”。</w:t>
      </w:r>
    </w:p>
    <w:p>
      <w:pPr>
        <w:ind w:firstLine="630" w:firstLineChars="200"/>
        <w:rPr>
          <w:rFonts w:hint="default" w:hAnsi="仿宋" w:eastAsia="仿宋"/>
          <w:color w:val="000000" w:themeColor="text1"/>
          <w:szCs w:val="30"/>
          <w:lang w:val="en-US" w:eastAsia="zh-CN"/>
          <w14:textFill>
            <w14:solidFill>
              <w14:schemeClr w14:val="tx1"/>
            </w14:solidFill>
          </w14:textFill>
        </w:rPr>
      </w:pPr>
      <w:bookmarkStart w:id="39" w:name="_Toc14385_WPSOffice_Level1"/>
      <w:bookmarkStart w:id="40" w:name="_Toc19710_WPSOffice_Level1"/>
      <w:r>
        <w:rPr>
          <w:rFonts w:hint="eastAsia" w:ascii="黑体" w:hAnsi="黑体" w:eastAsia="黑体" w:cs="黑体"/>
          <w:color w:val="000000" w:themeColor="text1"/>
          <w:szCs w:val="30"/>
          <w:lang w:val="en-US" w:eastAsia="zh-CN"/>
          <w14:textFill>
            <w14:solidFill>
              <w14:schemeClr w14:val="tx1"/>
            </w14:solidFill>
          </w14:textFill>
        </w:rPr>
        <w:t>三</w:t>
      </w:r>
      <w:r>
        <w:rPr>
          <w:rFonts w:hint="eastAsia" w:ascii="黑体" w:hAnsi="黑体" w:eastAsia="黑体" w:cs="黑体"/>
          <w:color w:val="000000" w:themeColor="text1"/>
          <w:szCs w:val="30"/>
          <w:lang w:eastAsia="zh-CN"/>
          <w14:textFill>
            <w14:solidFill>
              <w14:schemeClr w14:val="tx1"/>
            </w14:solidFill>
          </w14:textFill>
        </w:rPr>
        <w:t>、</w:t>
      </w:r>
      <w:r>
        <w:rPr>
          <w:rFonts w:hint="eastAsia" w:ascii="黑体" w:hAnsi="黑体" w:eastAsia="黑体" w:cs="黑体"/>
          <w:color w:val="000000" w:themeColor="text1"/>
          <w:szCs w:val="30"/>
          <w:lang w:val="en-US" w:eastAsia="zh-CN"/>
          <w14:textFill>
            <w14:solidFill>
              <w14:schemeClr w14:val="tx1"/>
            </w14:solidFill>
          </w14:textFill>
        </w:rPr>
        <w:t>项目资金安排及使用</w:t>
      </w:r>
      <w:bookmarkEnd w:id="39"/>
      <w:bookmarkEnd w:id="40"/>
    </w:p>
    <w:p>
      <w:pPr>
        <w:ind w:firstLine="630" w:firstLineChars="200"/>
        <w:rPr>
          <w:rFonts w:hint="default" w:hAnsi="仿宋" w:eastAsia="仿宋"/>
          <w:szCs w:val="30"/>
          <w:lang w:val="en-US" w:eastAsia="zh-CN"/>
        </w:rPr>
      </w:pPr>
      <w:r>
        <w:rPr>
          <w:rFonts w:hint="eastAsia" w:hAnsi="仿宋"/>
          <w:szCs w:val="30"/>
        </w:rPr>
        <w:t>建档立卡贫困户和“直过民族”户以及“直过民族”整村推进项目</w:t>
      </w:r>
      <w:r>
        <w:rPr>
          <w:rFonts w:hint="eastAsia" w:hAnsi="仿宋"/>
          <w:szCs w:val="30"/>
          <w:lang w:val="en-US" w:eastAsia="zh-CN"/>
        </w:rPr>
        <w:t>下拨</w:t>
      </w:r>
      <w:r>
        <w:rPr>
          <w:rFonts w:hint="eastAsia" w:hAnsi="仿宋"/>
          <w:szCs w:val="30"/>
        </w:rPr>
        <w:t>总资金30,770万元</w:t>
      </w:r>
      <w:r>
        <w:rPr>
          <w:rFonts w:hint="eastAsia" w:hAnsi="仿宋"/>
          <w:szCs w:val="30"/>
          <w:lang w:eastAsia="zh-CN"/>
        </w:rPr>
        <w:t>，</w:t>
      </w:r>
      <w:r>
        <w:rPr>
          <w:rFonts w:hint="eastAsia" w:hAnsi="仿宋"/>
          <w:szCs w:val="30"/>
          <w:lang w:val="en-US" w:eastAsia="zh-CN"/>
        </w:rPr>
        <w:t>全部为农发行贷款</w:t>
      </w:r>
      <w:r>
        <w:rPr>
          <w:rFonts w:hint="eastAsia" w:hAnsi="仿宋"/>
          <w:szCs w:val="30"/>
          <w:lang w:eastAsia="zh-CN"/>
        </w:rPr>
        <w:t>（</w:t>
      </w:r>
      <w:r>
        <w:rPr>
          <w:rFonts w:hint="eastAsia" w:hAnsi="仿宋"/>
          <w:szCs w:val="30"/>
        </w:rPr>
        <w:t>其中建档立卡贫困户和“直过民族”户危房改造补助资金22,670万元，“直过民族”整村推进补助资金8,100万元</w:t>
      </w:r>
      <w:r>
        <w:rPr>
          <w:rFonts w:hint="eastAsia" w:hAnsi="仿宋"/>
          <w:szCs w:val="30"/>
          <w:lang w:eastAsia="zh-CN"/>
        </w:rPr>
        <w:t>）。</w:t>
      </w:r>
      <w:r>
        <w:rPr>
          <w:rFonts w:hint="eastAsia" w:hAnsi="仿宋"/>
          <w:szCs w:val="30"/>
        </w:rPr>
        <w:t>实际资金使用23</w:t>
      </w:r>
      <w:r>
        <w:rPr>
          <w:rFonts w:hint="eastAsia" w:hAnsi="仿宋"/>
          <w:szCs w:val="30"/>
          <w:lang w:val="en-US" w:eastAsia="zh-CN"/>
        </w:rPr>
        <w:t>,</w:t>
      </w:r>
      <w:r>
        <w:rPr>
          <w:rFonts w:hint="eastAsia" w:hAnsi="仿宋"/>
          <w:szCs w:val="30"/>
        </w:rPr>
        <w:t>359.19万元，资金使用率</w:t>
      </w:r>
      <w:r>
        <w:rPr>
          <w:rFonts w:hint="eastAsia" w:hAnsi="仿宋"/>
          <w:szCs w:val="30"/>
          <w:lang w:val="en-US" w:eastAsia="zh-CN"/>
        </w:rPr>
        <w:t>75.91</w:t>
      </w:r>
      <w:r>
        <w:rPr>
          <w:rFonts w:hint="eastAsia" w:hAnsi="仿宋"/>
          <w:szCs w:val="30"/>
        </w:rPr>
        <w:t>%</w:t>
      </w:r>
      <w:r>
        <w:rPr>
          <w:rFonts w:hint="eastAsia" w:hAnsi="仿宋"/>
          <w:szCs w:val="30"/>
          <w:lang w:eastAsia="zh-CN"/>
        </w:rPr>
        <w:t>，</w:t>
      </w:r>
      <w:r>
        <w:rPr>
          <w:rFonts w:hint="eastAsia" w:hAnsi="仿宋"/>
          <w:szCs w:val="30"/>
          <w:lang w:val="en-US" w:eastAsia="zh-CN"/>
        </w:rPr>
        <w:t>未使用资金7410.81万元。</w:t>
      </w:r>
    </w:p>
    <w:p>
      <w:pPr>
        <w:ind w:firstLine="630" w:firstLineChars="200"/>
        <w:rPr>
          <w:rFonts w:hint="default" w:hAnsi="仿宋" w:eastAsia="仿宋"/>
          <w:color w:val="000000" w:themeColor="text1"/>
          <w:szCs w:val="30"/>
          <w:lang w:val="en-US" w:eastAsia="zh-CN"/>
          <w14:textFill>
            <w14:solidFill>
              <w14:schemeClr w14:val="tx1"/>
            </w14:solidFill>
          </w14:textFill>
        </w:rPr>
      </w:pPr>
      <w:bookmarkStart w:id="41" w:name="_Toc20760_WPSOffice_Level1"/>
      <w:bookmarkStart w:id="42" w:name="_Toc14311_WPSOffice_Level1"/>
      <w:r>
        <w:rPr>
          <w:rFonts w:hint="eastAsia" w:ascii="黑体" w:hAnsi="黑体" w:eastAsia="黑体" w:cs="黑体"/>
          <w:color w:val="000000" w:themeColor="text1"/>
          <w:szCs w:val="30"/>
          <w:lang w:val="en-US" w:eastAsia="zh-CN"/>
          <w14:textFill>
            <w14:solidFill>
              <w14:schemeClr w14:val="tx1"/>
            </w14:solidFill>
          </w14:textFill>
        </w:rPr>
        <w:t>四、项目存在问题</w:t>
      </w:r>
      <w:bookmarkEnd w:id="41"/>
      <w:bookmarkEnd w:id="42"/>
    </w:p>
    <w:p>
      <w:pPr>
        <w:ind w:firstLine="630" w:firstLineChars="200"/>
        <w:rPr>
          <w:rFonts w:hint="eastAsia" w:ascii="楷体" w:hAnsi="楷体" w:eastAsia="楷体" w:cs="楷体"/>
          <w:color w:val="000000" w:themeColor="text1"/>
          <w:szCs w:val="30"/>
          <w:lang w:val="en-US" w:eastAsia="zh-CN"/>
          <w14:textFill>
            <w14:solidFill>
              <w14:schemeClr w14:val="tx1"/>
            </w14:solidFill>
          </w14:textFill>
        </w:rPr>
      </w:pPr>
      <w:bookmarkStart w:id="43" w:name="_Toc19544_WPSOffice_Level2"/>
      <w:bookmarkStart w:id="44" w:name="_Toc11305_WPSOffice_Level2"/>
      <w:r>
        <w:rPr>
          <w:rFonts w:hint="eastAsia" w:ascii="楷体" w:hAnsi="楷体" w:eastAsia="楷体" w:cs="楷体"/>
          <w:color w:val="000000" w:themeColor="text1"/>
          <w:szCs w:val="30"/>
          <w:lang w:val="en-US" w:eastAsia="zh-CN"/>
          <w14:textFill>
            <w14:solidFill>
              <w14:schemeClr w14:val="tx1"/>
            </w14:solidFill>
          </w14:textFill>
        </w:rPr>
        <w:t>（一）项目资金结余较大、过度占用财政资金</w:t>
      </w:r>
      <w:bookmarkEnd w:id="43"/>
      <w:bookmarkEnd w:id="44"/>
    </w:p>
    <w:p>
      <w:pPr>
        <w:spacing w:line="579" w:lineRule="exact"/>
        <w:ind w:firstLine="630" w:firstLineChars="200"/>
        <w:rPr>
          <w:rFonts w:hint="eastAsia" w:hAnsi="仿宋"/>
          <w:color w:val="000000" w:themeColor="text1"/>
          <w:szCs w:val="30"/>
          <w14:textFill>
            <w14:solidFill>
              <w14:schemeClr w14:val="tx1"/>
            </w14:solidFill>
          </w14:textFill>
        </w:rPr>
      </w:pPr>
      <w:r>
        <w:rPr>
          <w:rFonts w:hint="eastAsia" w:hAnsi="仿宋"/>
          <w:szCs w:val="30"/>
        </w:rPr>
        <w:t>截至评价日，</w:t>
      </w:r>
      <w:r>
        <w:rPr>
          <w:rFonts w:hint="eastAsia" w:hAnsi="仿宋"/>
          <w:szCs w:val="30"/>
          <w:lang w:val="en-US" w:eastAsia="zh-CN"/>
        </w:rPr>
        <w:t>本项目资金结余率31.52%，</w:t>
      </w:r>
      <w:r>
        <w:rPr>
          <w:rFonts w:hint="eastAsia" w:hAnsi="仿宋"/>
          <w:szCs w:val="30"/>
        </w:rPr>
        <w:t>项目总结余资金应为</w:t>
      </w:r>
      <w:r>
        <w:rPr>
          <w:rFonts w:hint="eastAsia" w:hAnsi="仿宋"/>
          <w:szCs w:val="30"/>
          <w:lang w:val="en-US" w:eastAsia="zh-CN"/>
        </w:rPr>
        <w:t>9699</w:t>
      </w:r>
      <w:r>
        <w:rPr>
          <w:rFonts w:hint="eastAsia" w:hAnsi="仿宋"/>
          <w:szCs w:val="30"/>
        </w:rPr>
        <w:t>.81万元</w:t>
      </w:r>
      <w:r>
        <w:rPr>
          <w:rFonts w:hint="eastAsia" w:hAnsi="仿宋"/>
          <w:szCs w:val="30"/>
          <w:lang w:eastAsia="zh-CN"/>
        </w:rPr>
        <w:t>，</w:t>
      </w:r>
      <w:r>
        <w:rPr>
          <w:rFonts w:hint="eastAsia" w:hAnsi="仿宋"/>
          <w:szCs w:val="30"/>
          <w:lang w:val="en-US" w:eastAsia="zh-CN"/>
        </w:rPr>
        <w:t>由三部分组成：第一部分为：</w:t>
      </w:r>
      <w:r>
        <w:rPr>
          <w:rFonts w:hint="eastAsia" w:hAnsi="仿宋"/>
          <w:szCs w:val="30"/>
        </w:rPr>
        <w:t>2018年6月市扶贫办</w:t>
      </w:r>
      <w:r>
        <w:rPr>
          <w:rFonts w:hint="eastAsia" w:hAnsi="仿宋"/>
          <w:szCs w:val="30"/>
          <w:lang w:val="en-US" w:eastAsia="zh-CN"/>
        </w:rPr>
        <w:t>已</w:t>
      </w:r>
      <w:r>
        <w:rPr>
          <w:rFonts w:hint="eastAsia" w:hAnsi="仿宋"/>
          <w:szCs w:val="30"/>
        </w:rPr>
        <w:t>向市人民政府请示收回结余资金</w:t>
      </w:r>
      <w:r>
        <w:rPr>
          <w:rFonts w:hint="eastAsia" w:hAnsi="仿宋"/>
          <w:color w:val="000000" w:themeColor="text1"/>
          <w:szCs w:val="30"/>
          <w14:textFill>
            <w14:solidFill>
              <w14:schemeClr w14:val="tx1"/>
            </w14:solidFill>
          </w14:textFill>
        </w:rPr>
        <w:t>7040.71万元</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多付半年利息</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第二部分为：</w:t>
      </w:r>
      <w:r>
        <w:rPr>
          <w:rFonts w:hint="eastAsia" w:hAnsi="仿宋"/>
          <w:color w:val="000000" w:themeColor="text1"/>
          <w:szCs w:val="30"/>
          <w14:textFill>
            <w14:solidFill>
              <w14:schemeClr w14:val="tx1"/>
            </w14:solidFill>
          </w14:textFill>
        </w:rPr>
        <w:t>根据《玉溪市扶贫开发领导小组关于切实做好建档立卡</w:t>
      </w:r>
      <w:r>
        <w:rPr>
          <w:rFonts w:hint="eastAsia" w:hAnsi="仿宋"/>
          <w:color w:val="000000" w:themeColor="text1"/>
          <w:szCs w:val="30"/>
          <w:highlight w:val="none"/>
          <w14:textFill>
            <w14:solidFill>
              <w14:schemeClr w14:val="tx1"/>
            </w14:solidFill>
          </w14:textFill>
        </w:rPr>
        <w:t>贫困户和“直过民族”户D级危房就近就地拆除重建资金的兑补工作通知》（玉扶组发〔2018〕10</w:t>
      </w:r>
      <w:r>
        <w:rPr>
          <w:rFonts w:hint="eastAsia" w:hAnsi="仿宋"/>
          <w:color w:val="000000" w:themeColor="text1"/>
          <w:szCs w:val="30"/>
          <w:highlight w:val="none"/>
          <w:lang w:val="en-US" w:eastAsia="zh-CN"/>
          <w14:textFill>
            <w14:solidFill>
              <w14:schemeClr w14:val="tx1"/>
            </w14:solidFill>
          </w14:textFill>
        </w:rPr>
        <w:t>号</w:t>
      </w:r>
      <w:r>
        <w:rPr>
          <w:rFonts w:hint="eastAsia" w:hAnsi="仿宋"/>
          <w:color w:val="000000" w:themeColor="text1"/>
          <w:szCs w:val="30"/>
          <w:highlight w:val="none"/>
          <w14:textFill>
            <w14:solidFill>
              <w14:schemeClr w14:val="tx1"/>
            </w14:solidFill>
          </w14:textFill>
        </w:rPr>
        <w:t>），</w:t>
      </w:r>
      <w:r>
        <w:rPr>
          <w:rFonts w:hint="eastAsia" w:hAnsi="仿宋"/>
          <w:color w:val="000000" w:themeColor="text1"/>
          <w:szCs w:val="30"/>
          <w:highlight w:val="none"/>
          <w:lang w:val="en-US" w:eastAsia="zh-CN"/>
          <w14:textFill>
            <w14:solidFill>
              <w14:schemeClr w14:val="tx1"/>
            </w14:solidFill>
          </w14:textFill>
        </w:rPr>
        <w:t>结合住建“四类重点”农村危房改造项目补助政策，</w:t>
      </w:r>
      <w:r>
        <w:rPr>
          <w:rFonts w:hint="eastAsia" w:hAnsi="仿宋"/>
          <w:szCs w:val="30"/>
          <w:highlight w:val="none"/>
        </w:rPr>
        <w:t>补助标准从“5万元/户”转变为“2.9万元/户”，</w:t>
      </w:r>
      <w:r>
        <w:rPr>
          <w:rFonts w:hint="eastAsia" w:hAnsi="仿宋"/>
          <w:color w:val="000000" w:themeColor="text1"/>
          <w:szCs w:val="30"/>
          <w:highlight w:val="none"/>
          <w14:textFill>
            <w14:solidFill>
              <w14:schemeClr w14:val="tx1"/>
            </w14:solidFill>
          </w14:textFill>
        </w:rPr>
        <w:t>本项目应结余</w:t>
      </w:r>
      <w:r>
        <w:rPr>
          <w:rFonts w:hint="eastAsia" w:hAnsi="仿宋"/>
          <w:color w:val="000000" w:themeColor="text1"/>
          <w:szCs w:val="30"/>
          <w:highlight w:val="none"/>
          <w:lang w:val="en-US" w:eastAsia="zh-CN"/>
          <w14:textFill>
            <w14:solidFill>
              <w14:schemeClr w14:val="tx1"/>
            </w14:solidFill>
          </w14:textFill>
        </w:rPr>
        <w:t>并交回</w:t>
      </w:r>
      <w:r>
        <w:rPr>
          <w:rFonts w:hint="eastAsia" w:hAnsi="仿宋"/>
          <w:color w:val="000000" w:themeColor="text1"/>
          <w:szCs w:val="30"/>
          <w:highlight w:val="none"/>
          <w14:textFill>
            <w14:solidFill>
              <w14:schemeClr w14:val="tx1"/>
            </w14:solidFill>
          </w14:textFill>
        </w:rPr>
        <w:t>资金</w:t>
      </w:r>
      <w:r>
        <w:rPr>
          <w:rFonts w:hint="eastAsia" w:hAnsi="仿宋"/>
          <w:color w:val="000000" w:themeColor="text1"/>
          <w:szCs w:val="30"/>
          <w:highlight w:val="none"/>
          <w:lang w:val="en-US" w:eastAsia="zh-CN"/>
          <w14:textFill>
            <w14:solidFill>
              <w14:schemeClr w14:val="tx1"/>
            </w14:solidFill>
          </w14:textFill>
        </w:rPr>
        <w:t>2289</w:t>
      </w:r>
      <w:r>
        <w:rPr>
          <w:rFonts w:hint="eastAsia" w:hAnsi="仿宋"/>
          <w:color w:val="000000" w:themeColor="text1"/>
          <w:szCs w:val="30"/>
          <w:highlight w:val="none"/>
          <w14:textFill>
            <w14:solidFill>
              <w14:schemeClr w14:val="tx1"/>
            </w14:solidFill>
          </w14:textFill>
        </w:rPr>
        <w:t>万元</w:t>
      </w:r>
      <w:r>
        <w:rPr>
          <w:rFonts w:hint="eastAsia" w:hAnsi="仿宋"/>
          <w:color w:val="000000" w:themeColor="text1"/>
          <w:szCs w:val="30"/>
          <w:highlight w:val="none"/>
          <w:lang w:eastAsia="zh-CN"/>
          <w14:textFill>
            <w14:solidFill>
              <w14:schemeClr w14:val="tx1"/>
            </w14:solidFill>
          </w14:textFill>
        </w:rPr>
        <w:t>（</w:t>
      </w:r>
      <w:r>
        <w:rPr>
          <w:rFonts w:hint="eastAsia" w:hAnsi="仿宋"/>
          <w:color w:val="000000" w:themeColor="text1"/>
          <w:szCs w:val="30"/>
          <w:highlight w:val="none"/>
          <w:lang w:val="en-US" w:eastAsia="zh-CN"/>
          <w14:textFill>
            <w14:solidFill>
              <w14:schemeClr w14:val="tx1"/>
            </w14:solidFill>
          </w14:textFill>
        </w:rPr>
        <w:t>其中华宁县1058.40万元、澄江县331.80万元和元江县898.80万元，其他县区均已于2018年6月将资金交回</w:t>
      </w:r>
      <w:r>
        <w:rPr>
          <w:rFonts w:hint="eastAsia" w:hAnsi="仿宋"/>
          <w:color w:val="000000" w:themeColor="text1"/>
          <w:szCs w:val="30"/>
          <w:highlight w:val="none"/>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第三部分为：</w:t>
      </w:r>
      <w:r>
        <w:rPr>
          <w:rFonts w:hint="eastAsia" w:hAnsi="仿宋"/>
          <w:color w:val="000000" w:themeColor="text1"/>
          <w:szCs w:val="30"/>
          <w14:textFill>
            <w14:solidFill>
              <w14:schemeClr w14:val="tx1"/>
            </w14:solidFill>
          </w14:textFill>
        </w:rPr>
        <w:t>红塔区、峨山县、华宁县和通海县项目</w:t>
      </w:r>
      <w:r>
        <w:rPr>
          <w:rFonts w:hint="eastAsia" w:hAnsi="仿宋"/>
          <w:color w:val="000000" w:themeColor="text1"/>
          <w:szCs w:val="30"/>
          <w:lang w:val="en-US" w:eastAsia="zh-CN"/>
          <w14:textFill>
            <w14:solidFill>
              <w14:schemeClr w14:val="tx1"/>
            </w14:solidFill>
          </w14:textFill>
        </w:rPr>
        <w:t>完成后共</w:t>
      </w:r>
      <w:r>
        <w:rPr>
          <w:rFonts w:hint="eastAsia" w:hAnsi="仿宋"/>
          <w:color w:val="000000" w:themeColor="text1"/>
          <w:szCs w:val="30"/>
          <w14:textFill>
            <w14:solidFill>
              <w14:schemeClr w14:val="tx1"/>
            </w14:solidFill>
          </w14:textFill>
        </w:rPr>
        <w:t>结余资金370.10万元</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其中红塔区81.48万元，峨山县40万元、华宁县149万元和通海县62.6万元</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14:textFill>
            <w14:solidFill>
              <w14:schemeClr w14:val="tx1"/>
            </w14:solidFill>
          </w14:textFill>
        </w:rPr>
        <w:t>。</w:t>
      </w:r>
    </w:p>
    <w:p>
      <w:pPr>
        <w:spacing w:line="579" w:lineRule="exact"/>
        <w:ind w:firstLine="630" w:firstLineChars="200"/>
        <w:rPr>
          <w:rFonts w:hint="eastAsia" w:hAnsi="仿宋"/>
          <w:color w:val="000000" w:themeColor="text1"/>
          <w:szCs w:val="30"/>
          <w:lang w:val="en-US" w:eastAsia="zh-CN"/>
          <w14:textFill>
            <w14:solidFill>
              <w14:schemeClr w14:val="tx1"/>
            </w14:solidFill>
          </w14:textFill>
        </w:rPr>
      </w:pPr>
      <w:r>
        <w:rPr>
          <w:rFonts w:hint="eastAsia" w:hAnsi="仿宋"/>
          <w:color w:val="000000" w:themeColor="text1"/>
          <w:szCs w:val="30"/>
          <w:lang w:val="en-US" w:eastAsia="zh-CN"/>
          <w14:textFill>
            <w14:solidFill>
              <w14:schemeClr w14:val="tx1"/>
            </w14:solidFill>
          </w14:textFill>
        </w:rPr>
        <w:t>资金结余较大主要原因如下：</w:t>
      </w:r>
    </w:p>
    <w:p>
      <w:pPr>
        <w:numPr>
          <w:ilvl w:val="0"/>
          <w:numId w:val="0"/>
        </w:numPr>
        <w:spacing w:line="579" w:lineRule="exact"/>
        <w:ind w:firstLine="630" w:firstLineChars="200"/>
        <w:rPr>
          <w:rFonts w:hint="default" w:hAnsi="仿宋" w:eastAsia="仿宋"/>
          <w:szCs w:val="30"/>
          <w:lang w:val="en-US" w:eastAsia="zh-CN"/>
        </w:rPr>
      </w:pPr>
      <w:r>
        <w:rPr>
          <w:rFonts w:hint="eastAsia" w:hAnsi="仿宋"/>
          <w:szCs w:val="30"/>
          <w:lang w:val="en-US" w:eastAsia="zh-CN"/>
        </w:rPr>
        <w:t>1.</w:t>
      </w:r>
      <w:r>
        <w:rPr>
          <w:rFonts w:hint="eastAsia" w:hAnsi="仿宋"/>
          <w:szCs w:val="30"/>
        </w:rPr>
        <w:t>户数排查、审查不严</w:t>
      </w:r>
      <w:r>
        <w:rPr>
          <w:rFonts w:hint="eastAsia" w:hAnsi="仿宋"/>
          <w:szCs w:val="30"/>
          <w:lang w:eastAsia="zh-CN"/>
        </w:rPr>
        <w:t>、</w:t>
      </w:r>
      <w:r>
        <w:rPr>
          <w:rFonts w:hint="eastAsia" w:hAnsi="仿宋"/>
          <w:szCs w:val="30"/>
          <w:lang w:val="en-US" w:eastAsia="zh-CN"/>
        </w:rPr>
        <w:t>上报不实</w:t>
      </w:r>
      <w:r>
        <w:rPr>
          <w:rFonts w:hint="eastAsia" w:hAnsi="仿宋"/>
          <w:szCs w:val="30"/>
        </w:rPr>
        <w:t>。</w:t>
      </w:r>
      <w:r>
        <w:rPr>
          <w:rFonts w:hint="eastAsia" w:hAnsi="仿宋"/>
          <w:szCs w:val="30"/>
          <w:lang w:val="en-US" w:eastAsia="zh-CN"/>
        </w:rPr>
        <w:t>一是部分县区</w:t>
      </w:r>
      <w:r>
        <w:rPr>
          <w:rFonts w:hint="eastAsia" w:hAnsi="仿宋"/>
          <w:szCs w:val="30"/>
        </w:rPr>
        <w:t>鉴定人员仅为当地住建、扶贫办和乡镇政府工作人员，户数排查、审查专业性不强</w:t>
      </w:r>
      <w:r>
        <w:rPr>
          <w:rFonts w:hint="eastAsia" w:hAnsi="仿宋"/>
          <w:szCs w:val="30"/>
          <w:highlight w:val="none"/>
          <w:lang w:eastAsia="zh-CN"/>
        </w:rPr>
        <w:t>。</w:t>
      </w:r>
      <w:r>
        <w:rPr>
          <w:rFonts w:hint="eastAsia" w:hAnsi="仿宋"/>
          <w:szCs w:val="30"/>
          <w:highlight w:val="none"/>
          <w:lang w:val="en-US" w:eastAsia="zh-CN"/>
        </w:rPr>
        <w:t>二是</w:t>
      </w:r>
      <w:r>
        <w:rPr>
          <w:rFonts w:hint="eastAsia" w:hAnsi="仿宋"/>
          <w:szCs w:val="30"/>
          <w:highlight w:val="none"/>
        </w:rPr>
        <w:t>项目在实施前期，除新平县扶贫部门外，其他</w:t>
      </w:r>
      <w:r>
        <w:rPr>
          <w:rFonts w:hint="eastAsia" w:hAnsi="仿宋"/>
          <w:szCs w:val="30"/>
          <w:highlight w:val="none"/>
          <w:lang w:val="en-US" w:eastAsia="zh-CN"/>
        </w:rPr>
        <w:t>市县</w:t>
      </w:r>
      <w:r>
        <w:rPr>
          <w:rFonts w:hint="eastAsia" w:hAnsi="仿宋"/>
          <w:szCs w:val="30"/>
          <w:highlight w:val="none"/>
        </w:rPr>
        <w:t>扶贫部门无法提供建档立卡贫困户和“直过民族”户危房改造排查户数痕迹资料，无法合理解释4534户改造户数的来源及出处，反映出县（区）扶贫部门未切实有效开展排查审查工作。</w:t>
      </w:r>
      <w:r>
        <w:rPr>
          <w:rFonts w:hint="eastAsia" w:hAnsi="仿宋"/>
          <w:szCs w:val="30"/>
          <w:highlight w:val="none"/>
          <w:lang w:val="en-US" w:eastAsia="zh-CN"/>
        </w:rPr>
        <w:t>截至评价日，本项目计划改造4534 户，实际改造3928户，差异数606户。</w:t>
      </w:r>
    </w:p>
    <w:p>
      <w:pPr>
        <w:spacing w:line="579" w:lineRule="exact"/>
        <w:ind w:firstLine="630" w:firstLineChars="200"/>
        <w:rPr>
          <w:rFonts w:hint="default" w:hAnsi="仿宋" w:eastAsia="仿宋"/>
          <w:szCs w:val="30"/>
          <w:highlight w:val="yellow"/>
          <w:lang w:val="en-US" w:eastAsia="zh-CN"/>
        </w:rPr>
      </w:pPr>
      <w:r>
        <w:rPr>
          <w:rFonts w:hint="eastAsia" w:hAnsi="仿宋"/>
          <w:b w:val="0"/>
          <w:bCs w:val="0"/>
          <w:szCs w:val="30"/>
          <w:lang w:val="en-US" w:eastAsia="zh-CN"/>
        </w:rPr>
        <w:t>2.</w:t>
      </w:r>
      <w:r>
        <w:rPr>
          <w:rFonts w:hint="eastAsia" w:hAnsi="仿宋"/>
          <w:b w:val="0"/>
          <w:bCs w:val="0"/>
          <w:szCs w:val="30"/>
        </w:rPr>
        <w:t>相关部门未统筹协调考虑各口扶贫政策，补助标准前后执行不一致。本</w:t>
      </w:r>
      <w:r>
        <w:rPr>
          <w:rFonts w:hint="eastAsia" w:hAnsi="仿宋"/>
          <w:szCs w:val="30"/>
        </w:rPr>
        <w:t>项目实施内容与市住建部门长期开展的域内“四类重点对象”农村危房改造项目高度相似，部分实施受益对象交叉重叠</w:t>
      </w:r>
      <w:r>
        <w:rPr>
          <w:rFonts w:hint="eastAsia" w:hAnsi="仿宋"/>
          <w:szCs w:val="30"/>
          <w:lang w:val="en-US" w:eastAsia="zh-CN"/>
        </w:rPr>
        <w:t>。</w:t>
      </w:r>
      <w:r>
        <w:rPr>
          <w:rFonts w:hint="eastAsia" w:hAnsi="仿宋"/>
          <w:szCs w:val="30"/>
        </w:rPr>
        <w:t>补助标准从“5万元/户”转变为“2.9万元/户”，造成扶贫过桥贷款资金结余。</w:t>
      </w:r>
    </w:p>
    <w:p>
      <w:pPr>
        <w:ind w:firstLine="630" w:firstLineChars="200"/>
        <w:rPr>
          <w:rFonts w:hint="eastAsia" w:ascii="楷体" w:hAnsi="楷体" w:eastAsia="楷体" w:cs="楷体"/>
          <w:color w:val="000000" w:themeColor="text1"/>
          <w:szCs w:val="30"/>
          <w:lang w:val="en-US" w:eastAsia="zh-CN"/>
          <w14:textFill>
            <w14:solidFill>
              <w14:schemeClr w14:val="tx1"/>
            </w14:solidFill>
          </w14:textFill>
        </w:rPr>
      </w:pPr>
      <w:bookmarkStart w:id="45" w:name="_Toc15957_WPSOffice_Level2"/>
      <w:bookmarkStart w:id="46" w:name="_Toc31064_WPSOffice_Level2"/>
      <w:r>
        <w:rPr>
          <w:rFonts w:hint="eastAsia" w:ascii="楷体" w:hAnsi="楷体" w:eastAsia="楷体" w:cs="楷体"/>
          <w:color w:val="000000" w:themeColor="text1"/>
          <w:szCs w:val="30"/>
          <w:lang w:val="en-US" w:eastAsia="zh-CN"/>
          <w14:textFill>
            <w14:solidFill>
              <w14:schemeClr w14:val="tx1"/>
            </w14:solidFill>
          </w14:textFill>
        </w:rPr>
        <w:t>（二）项目实施要求不一，项目管理难以有效把控</w:t>
      </w:r>
      <w:bookmarkEnd w:id="45"/>
      <w:bookmarkEnd w:id="46"/>
    </w:p>
    <w:p>
      <w:pPr>
        <w:spacing w:line="579" w:lineRule="exact"/>
        <w:ind w:firstLine="630" w:firstLineChars="200"/>
        <w:rPr>
          <w:rFonts w:hAnsi="仿宋"/>
          <w:szCs w:val="30"/>
        </w:rPr>
      </w:pPr>
      <w:r>
        <w:rPr>
          <w:rFonts w:hint="eastAsia" w:hAnsi="仿宋"/>
          <w:szCs w:val="30"/>
          <w:lang w:val="en-US" w:eastAsia="zh-CN"/>
        </w:rPr>
        <w:t>1.</w:t>
      </w:r>
      <w:r>
        <w:rPr>
          <w:rFonts w:hint="eastAsia" w:hAnsi="仿宋"/>
          <w:szCs w:val="30"/>
        </w:rPr>
        <w:t>实施方案未对项目的责任分工、建设方式、资金管理、保障机制、建后管护等作出相应规定和要求。</w:t>
      </w:r>
    </w:p>
    <w:p>
      <w:pPr>
        <w:spacing w:line="579" w:lineRule="exact"/>
        <w:ind w:firstLine="630" w:firstLineChars="200"/>
        <w:rPr>
          <w:rFonts w:hAnsi="仿宋"/>
          <w:szCs w:val="30"/>
        </w:rPr>
      </w:pPr>
      <w:r>
        <w:rPr>
          <w:rFonts w:hint="eastAsia" w:hAnsi="仿宋"/>
          <w:szCs w:val="30"/>
          <w:lang w:val="en-US" w:eastAsia="zh-CN"/>
        </w:rPr>
        <w:t>2.</w:t>
      </w:r>
      <w:r>
        <w:rPr>
          <w:rFonts w:hint="eastAsia" w:hAnsi="仿宋"/>
          <w:szCs w:val="30"/>
        </w:rPr>
        <w:t>资金下拨方式不统一，难以实现项目实施、资金使用的有效监控。</w:t>
      </w:r>
    </w:p>
    <w:p>
      <w:pPr>
        <w:spacing w:line="579" w:lineRule="exact"/>
        <w:ind w:firstLine="630" w:firstLineChars="200"/>
        <w:rPr>
          <w:rFonts w:hAnsi="仿宋"/>
          <w:szCs w:val="30"/>
        </w:rPr>
      </w:pPr>
      <w:r>
        <w:rPr>
          <w:rFonts w:hint="eastAsia" w:hAnsi="仿宋"/>
          <w:szCs w:val="30"/>
          <w:lang w:val="en-US" w:eastAsia="zh-CN"/>
        </w:rPr>
        <w:t>3.</w:t>
      </w:r>
      <w:r>
        <w:rPr>
          <w:rFonts w:hint="eastAsia" w:hAnsi="仿宋"/>
          <w:szCs w:val="30"/>
        </w:rPr>
        <w:t>各县（区）房屋验收标准不一，无统一的验收内容、</w:t>
      </w:r>
      <w:r>
        <w:rPr>
          <w:rFonts w:hint="eastAsia" w:hAnsi="仿宋"/>
          <w:szCs w:val="30"/>
          <w:lang w:val="en-US" w:eastAsia="zh-CN"/>
        </w:rPr>
        <w:t>标准</w:t>
      </w:r>
      <w:r>
        <w:rPr>
          <w:rFonts w:hint="eastAsia" w:hAnsi="仿宋"/>
          <w:szCs w:val="30"/>
        </w:rPr>
        <w:t xml:space="preserve">。 </w:t>
      </w:r>
    </w:p>
    <w:p>
      <w:pPr>
        <w:ind w:firstLine="630" w:firstLineChars="200"/>
        <w:rPr>
          <w:rFonts w:hint="eastAsia" w:ascii="楷体" w:hAnsi="楷体" w:eastAsia="楷体" w:cs="楷体"/>
          <w:color w:val="000000" w:themeColor="text1"/>
          <w:szCs w:val="30"/>
          <w:lang w:val="en-US" w:eastAsia="zh-CN"/>
          <w14:textFill>
            <w14:solidFill>
              <w14:schemeClr w14:val="tx1"/>
            </w14:solidFill>
          </w14:textFill>
        </w:rPr>
      </w:pPr>
      <w:bookmarkStart w:id="47" w:name="_Toc19710_WPSOffice_Level2"/>
      <w:bookmarkStart w:id="48" w:name="_Toc14385_WPSOffice_Level2"/>
      <w:r>
        <w:rPr>
          <w:rFonts w:hint="eastAsia" w:ascii="楷体" w:hAnsi="楷体" w:eastAsia="楷体" w:cs="楷体"/>
          <w:color w:val="000000" w:themeColor="text1"/>
          <w:szCs w:val="30"/>
          <w:lang w:val="en-US" w:eastAsia="zh-CN"/>
          <w14:textFill>
            <w14:solidFill>
              <w14:schemeClr w14:val="tx1"/>
            </w14:solidFill>
          </w14:textFill>
        </w:rPr>
        <w:t>（三）制度建设有待完善，监督检查深度广度不够</w:t>
      </w:r>
      <w:bookmarkEnd w:id="47"/>
      <w:bookmarkEnd w:id="48"/>
    </w:p>
    <w:p>
      <w:pPr>
        <w:ind w:firstLine="630" w:firstLineChars="200"/>
      </w:pPr>
      <w:r>
        <w:rPr>
          <w:rFonts w:hint="eastAsia"/>
          <w:lang w:val="en-US" w:eastAsia="zh-CN"/>
        </w:rPr>
        <w:t>1.</w:t>
      </w:r>
      <w:r>
        <w:rPr>
          <w:rFonts w:hint="eastAsia"/>
        </w:rPr>
        <w:t>项目绩效管理、监督检查及档案管理执行不到位，项目档案资料不完整、不齐全、不规范。除江川区和新平县外，其他县（区）未建立健全相关制度，均存在较大缺失。</w:t>
      </w:r>
    </w:p>
    <w:p>
      <w:pPr>
        <w:ind w:firstLine="630" w:firstLineChars="200"/>
      </w:pPr>
      <w:r>
        <w:rPr>
          <w:rFonts w:hint="eastAsia"/>
          <w:lang w:val="en-US" w:eastAsia="zh-CN"/>
        </w:rPr>
        <w:t>2.多数县（区）</w:t>
      </w:r>
      <w:r>
        <w:rPr>
          <w:rFonts w:hint="eastAsia"/>
        </w:rPr>
        <w:t>未建立财政资金绩效评价指标体系，未对项目的产出和社会效益等</w:t>
      </w:r>
      <w:r>
        <w:rPr>
          <w:rFonts w:hint="eastAsia"/>
          <w:lang w:val="en-US" w:eastAsia="zh-CN"/>
        </w:rPr>
        <w:t>进行</w:t>
      </w:r>
      <w:r>
        <w:rPr>
          <w:rFonts w:hint="eastAsia"/>
        </w:rPr>
        <w:t>绩效考核，未能及时纠正绩效运行的偏差以促进项目绩效目标的实现。造成扶贫管理机制体制运行不畅，项目主管部门对项目无有效管理。</w:t>
      </w:r>
    </w:p>
    <w:p>
      <w:pPr>
        <w:ind w:firstLine="630" w:firstLineChars="200"/>
      </w:pPr>
      <w:r>
        <w:rPr>
          <w:rFonts w:hint="eastAsia"/>
          <w:lang w:val="en-US" w:eastAsia="zh-CN"/>
        </w:rPr>
        <w:t>3.</w:t>
      </w:r>
      <w:r>
        <w:rPr>
          <w:rFonts w:hint="eastAsia"/>
        </w:rPr>
        <w:t>未有效开展对本项目的专项监督检查和实地检查，间接导致多数县（区）扶贫部门对本项目的整体情况不完全了解现象。未能及时发现上述提及的资金大量结余、工程施工存在缺陷和重建房屋面积超标等问题。</w:t>
      </w:r>
    </w:p>
    <w:p>
      <w:pPr>
        <w:ind w:firstLine="630" w:firstLineChars="200"/>
        <w:rPr>
          <w:rFonts w:hint="eastAsia" w:ascii="黑体" w:hAnsi="黑体" w:eastAsia="黑体" w:cs="黑体"/>
          <w:color w:val="000000" w:themeColor="text1"/>
          <w:szCs w:val="30"/>
          <w:lang w:val="en-US" w:eastAsia="zh-CN"/>
          <w14:textFill>
            <w14:solidFill>
              <w14:schemeClr w14:val="tx1"/>
            </w14:solidFill>
          </w14:textFill>
        </w:rPr>
      </w:pPr>
      <w:bookmarkStart w:id="49" w:name="_Toc13747_WPSOffice_Level1"/>
      <w:bookmarkStart w:id="50" w:name="_Toc23229_WPSOffice_Level1"/>
      <w:bookmarkStart w:id="51" w:name="_Toc9380_WPSOffice_Level1"/>
      <w:r>
        <w:rPr>
          <w:rFonts w:hint="eastAsia" w:ascii="黑体" w:hAnsi="黑体" w:eastAsia="黑体" w:cs="黑体"/>
          <w:color w:val="000000" w:themeColor="text1"/>
          <w:szCs w:val="30"/>
          <w:lang w:val="en-US" w:eastAsia="zh-CN"/>
          <w14:textFill>
            <w14:solidFill>
              <w14:schemeClr w14:val="tx1"/>
            </w14:solidFill>
          </w14:textFill>
        </w:rPr>
        <w:t>五、建议</w:t>
      </w:r>
      <w:bookmarkEnd w:id="49"/>
      <w:bookmarkEnd w:id="50"/>
      <w:bookmarkEnd w:id="51"/>
    </w:p>
    <w:p>
      <w:pPr>
        <w:ind w:firstLine="630" w:firstLineChars="200"/>
        <w:rPr>
          <w:rFonts w:hint="eastAsia" w:ascii="楷体" w:hAnsi="楷体" w:eastAsia="楷体" w:cs="楷体"/>
          <w:color w:val="000000" w:themeColor="text1"/>
          <w:szCs w:val="30"/>
          <w:lang w:val="en-US" w:eastAsia="zh-CN"/>
          <w14:textFill>
            <w14:solidFill>
              <w14:schemeClr w14:val="tx1"/>
            </w14:solidFill>
          </w14:textFill>
        </w:rPr>
      </w:pPr>
      <w:bookmarkStart w:id="52" w:name="_Toc13127652"/>
      <w:bookmarkStart w:id="53" w:name="_Toc18258_WPSOffice_Level1"/>
      <w:bookmarkStart w:id="54" w:name="_Toc20760_WPSOffice_Level2"/>
      <w:bookmarkStart w:id="55" w:name="_Toc14311_WPSOffice_Level2"/>
      <w:bookmarkStart w:id="56" w:name="_Toc12208_WPSOffice_Level2"/>
      <w:r>
        <w:rPr>
          <w:rFonts w:hint="eastAsia" w:ascii="楷体" w:hAnsi="楷体" w:eastAsia="楷体" w:cs="楷体"/>
          <w:color w:val="000000" w:themeColor="text1"/>
          <w:szCs w:val="30"/>
          <w:lang w:val="en-US" w:eastAsia="zh-CN"/>
          <w14:textFill>
            <w14:solidFill>
              <w14:schemeClr w14:val="tx1"/>
            </w14:solidFill>
          </w14:textFill>
        </w:rPr>
        <w:t>（一）及时收回项目结余资金，加强资金绩效管理。</w:t>
      </w:r>
    </w:p>
    <w:p>
      <w:pPr>
        <w:ind w:firstLine="630" w:firstLineChars="200"/>
        <w:rPr>
          <w:rFonts w:hint="eastAsia" w:ascii="楷体" w:hAnsi="楷体" w:eastAsia="楷体" w:cs="楷体"/>
          <w:color w:val="000000" w:themeColor="text1"/>
          <w:szCs w:val="30"/>
          <w:lang w:val="en-US" w:eastAsia="zh-CN"/>
          <w14:textFill>
            <w14:solidFill>
              <w14:schemeClr w14:val="tx1"/>
            </w14:solidFill>
          </w14:textFill>
        </w:rPr>
      </w:pPr>
      <w:bookmarkStart w:id="57" w:name="_Toc4493_WPSOffice_Level2"/>
      <w:bookmarkStart w:id="58" w:name="_Toc23229_WPSOffice_Level2"/>
      <w:bookmarkStart w:id="59" w:name="_Toc13747_WPSOffice_Level2"/>
      <w:r>
        <w:rPr>
          <w:rFonts w:hint="eastAsia" w:ascii="楷体" w:hAnsi="楷体" w:eastAsia="楷体" w:cs="楷体"/>
          <w:color w:val="000000" w:themeColor="text1"/>
          <w:szCs w:val="30"/>
          <w:lang w:val="en-US" w:eastAsia="zh-CN"/>
          <w14:textFill>
            <w14:solidFill>
              <w14:schemeClr w14:val="tx1"/>
            </w14:solidFill>
          </w14:textFill>
        </w:rPr>
        <w:t>（二）提高项目管理有效性，积极项目整改工作，做实基础工作</w:t>
      </w:r>
      <w:bookmarkEnd w:id="57"/>
      <w:r>
        <w:rPr>
          <w:rFonts w:hint="eastAsia" w:ascii="楷体" w:hAnsi="楷体" w:eastAsia="楷体" w:cs="楷体"/>
          <w:color w:val="000000" w:themeColor="text1"/>
          <w:szCs w:val="30"/>
          <w:lang w:val="en-US" w:eastAsia="zh-CN"/>
          <w14:textFill>
            <w14:solidFill>
              <w14:schemeClr w14:val="tx1"/>
            </w14:solidFill>
          </w14:textFill>
        </w:rPr>
        <w:t>。</w:t>
      </w:r>
      <w:bookmarkEnd w:id="58"/>
      <w:bookmarkEnd w:id="59"/>
    </w:p>
    <w:p>
      <w:pPr>
        <w:ind w:firstLine="630" w:firstLineChars="200"/>
        <w:rPr>
          <w:rFonts w:hint="eastAsia" w:ascii="楷体" w:hAnsi="楷体" w:eastAsia="楷体" w:cs="楷体"/>
          <w:color w:val="000000" w:themeColor="text1"/>
          <w:szCs w:val="30"/>
          <w:lang w:val="en-US" w:eastAsia="zh-CN"/>
          <w14:textFill>
            <w14:solidFill>
              <w14:schemeClr w14:val="tx1"/>
            </w14:solidFill>
          </w14:textFill>
        </w:rPr>
      </w:pPr>
      <w:bookmarkStart w:id="60" w:name="_Toc32120_WPSOffice_Level2"/>
      <w:bookmarkStart w:id="61" w:name="_Toc28789_WPSOffice_Level2"/>
      <w:bookmarkStart w:id="62" w:name="_Toc18783_WPSOffice_Level2"/>
      <w:r>
        <w:rPr>
          <w:rFonts w:hint="eastAsia" w:ascii="楷体" w:hAnsi="楷体" w:eastAsia="楷体" w:cs="楷体"/>
          <w:color w:val="000000" w:themeColor="text1"/>
          <w:szCs w:val="30"/>
          <w:lang w:val="en-US" w:eastAsia="zh-CN"/>
          <w14:textFill>
            <w14:solidFill>
              <w14:schemeClr w14:val="tx1"/>
            </w14:solidFill>
          </w14:textFill>
        </w:rPr>
        <w:t>（三）加强监督检查的深度和广度</w:t>
      </w:r>
      <w:bookmarkEnd w:id="60"/>
      <w:r>
        <w:rPr>
          <w:rFonts w:hint="eastAsia" w:ascii="楷体" w:hAnsi="楷体" w:eastAsia="楷体" w:cs="楷体"/>
          <w:color w:val="000000" w:themeColor="text1"/>
          <w:szCs w:val="30"/>
          <w:lang w:val="en-US" w:eastAsia="zh-CN"/>
          <w14:textFill>
            <w14:solidFill>
              <w14:schemeClr w14:val="tx1"/>
            </w14:solidFill>
          </w14:textFill>
        </w:rPr>
        <w:t>。</w:t>
      </w:r>
      <w:bookmarkEnd w:id="61"/>
      <w:bookmarkEnd w:id="62"/>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p>
    <w:p>
      <w:pPr>
        <w:spacing w:line="579" w:lineRule="exact"/>
        <w:jc w:val="center"/>
        <w:rPr>
          <w:rFonts w:hint="eastAsia" w:ascii="方正小标宋简体" w:hAnsi="方正小标宋简体" w:eastAsia="方正小标宋简体" w:cs="方正小标宋简体"/>
          <w:kern w:val="40"/>
          <w:sz w:val="44"/>
          <w:szCs w:val="44"/>
        </w:rPr>
      </w:pPr>
      <w:r>
        <w:rPr>
          <w:rFonts w:hint="eastAsia" w:ascii="方正小标宋简体" w:hAnsi="方正小标宋简体" w:eastAsia="方正小标宋简体" w:cs="方正小标宋简体"/>
          <w:kern w:val="40"/>
          <w:sz w:val="44"/>
          <w:szCs w:val="44"/>
        </w:rPr>
        <w:t>玉溪市人民政府扶贫开发办公室建档立卡贫困户和“直过民族”户危房改造及</w:t>
      </w:r>
    </w:p>
    <w:p>
      <w:pPr>
        <w:spacing w:line="579" w:lineRule="exact"/>
        <w:jc w:val="center"/>
        <w:rPr>
          <w:rFonts w:ascii="方正小标宋简体" w:hAnsi="方正小标宋简体" w:eastAsia="方正小标宋简体" w:cs="方正小标宋简体"/>
          <w:kern w:val="40"/>
          <w:sz w:val="44"/>
          <w:szCs w:val="44"/>
        </w:rPr>
      </w:pPr>
      <w:r>
        <w:rPr>
          <w:rFonts w:hint="eastAsia" w:ascii="方正小标宋简体" w:hAnsi="方正小标宋简体" w:eastAsia="方正小标宋简体" w:cs="方正小标宋简体"/>
          <w:kern w:val="40"/>
          <w:sz w:val="44"/>
          <w:szCs w:val="44"/>
        </w:rPr>
        <w:t>“直过民族”整村推进项目</w:t>
      </w:r>
    </w:p>
    <w:p>
      <w:pPr>
        <w:spacing w:line="579" w:lineRule="exact"/>
        <w:jc w:val="center"/>
        <w:rPr>
          <w:rFonts w:ascii="方正小标宋简体" w:eastAsia="方正小标宋简体"/>
          <w:sz w:val="44"/>
          <w:szCs w:val="44"/>
        </w:rPr>
      </w:pPr>
      <w:r>
        <w:rPr>
          <w:rFonts w:hint="eastAsia" w:ascii="方正小标宋简体" w:eastAsia="方正小标宋简体"/>
          <w:kern w:val="36"/>
          <w:sz w:val="44"/>
          <w:szCs w:val="44"/>
        </w:rPr>
        <w:t>绩效再评价</w:t>
      </w:r>
      <w:r>
        <w:rPr>
          <w:rFonts w:hint="eastAsia" w:ascii="方正小标宋简体" w:eastAsia="方正小标宋简体"/>
          <w:sz w:val="44"/>
          <w:szCs w:val="44"/>
        </w:rPr>
        <w:t>报告</w:t>
      </w:r>
    </w:p>
    <w:p>
      <w:pPr>
        <w:spacing w:line="579" w:lineRule="exact"/>
        <w:rPr>
          <w:rFonts w:hAnsi="仿宋"/>
          <w:sz w:val="36"/>
          <w:szCs w:val="36"/>
        </w:rPr>
      </w:pPr>
    </w:p>
    <w:p>
      <w:pPr>
        <w:spacing w:line="579" w:lineRule="exact"/>
        <w:ind w:firstLine="630" w:firstLineChars="200"/>
        <w:rPr>
          <w:rFonts w:hAnsi="仿宋"/>
          <w:szCs w:val="30"/>
        </w:rPr>
      </w:pPr>
      <w:r>
        <w:rPr>
          <w:rFonts w:hint="eastAsia" w:hAnsi="仿宋"/>
          <w:szCs w:val="30"/>
        </w:rPr>
        <w:t>根据《玉溪市财政局关于开展2019年预算支出绩效再评价工作的通知》（玉财投〔2019〕9号）、《玉溪市财政局关于玉溪市市级财政支出预算绩效评价操作规程（试行）的通知》（玉财投〔2018〕1号 ）的要求，我公司受玉溪市财政局投资合作中心委托，于2019年7月至2019年9月对建档立卡贫困户和“直过民族”户危房改造及“直过民族”整村推进项目（以下简称“本项目”）</w:t>
      </w:r>
      <w:r>
        <w:rPr>
          <w:rFonts w:hint="eastAsia" w:hAnsi="仿宋"/>
          <w:szCs w:val="30"/>
          <w:lang w:val="en-US" w:eastAsia="zh-CN"/>
        </w:rPr>
        <w:t>开展绩效再评价，</w:t>
      </w:r>
      <w:r>
        <w:rPr>
          <w:rFonts w:hint="eastAsia" w:hAnsi="仿宋"/>
          <w:szCs w:val="30"/>
        </w:rPr>
        <w:t>绩效再评价情况报告如下：</w:t>
      </w:r>
    </w:p>
    <w:p>
      <w:pPr>
        <w:spacing w:line="579" w:lineRule="exact"/>
        <w:ind w:firstLine="630" w:firstLineChars="200"/>
        <w:outlineLvl w:val="0"/>
        <w:rPr>
          <w:rFonts w:ascii="黑体" w:hAnsi="黑体" w:eastAsia="黑体" w:cs="宋体"/>
          <w:szCs w:val="30"/>
        </w:rPr>
      </w:pPr>
      <w:r>
        <w:rPr>
          <w:rFonts w:hint="eastAsia" w:ascii="黑体" w:hAnsi="黑体" w:eastAsia="黑体" w:cs="宋体"/>
          <w:szCs w:val="30"/>
        </w:rPr>
        <w:t>一、基本情况</w:t>
      </w:r>
      <w:bookmarkEnd w:id="52"/>
      <w:bookmarkEnd w:id="53"/>
    </w:p>
    <w:p>
      <w:pPr>
        <w:spacing w:line="579" w:lineRule="exact"/>
        <w:ind w:firstLine="630" w:firstLineChars="200"/>
        <w:outlineLvl w:val="1"/>
        <w:rPr>
          <w:rFonts w:ascii="楷体" w:hAnsi="楷体" w:eastAsia="楷体"/>
          <w:szCs w:val="30"/>
        </w:rPr>
      </w:pPr>
      <w:bookmarkStart w:id="63" w:name="_Toc13127653"/>
      <w:bookmarkStart w:id="64" w:name="_Toc25324_WPSOffice_Level2"/>
      <w:r>
        <w:rPr>
          <w:rFonts w:hint="eastAsia" w:ascii="楷体" w:hAnsi="楷体" w:eastAsia="楷体"/>
          <w:szCs w:val="30"/>
        </w:rPr>
        <w:t>（一）项目</w:t>
      </w:r>
      <w:bookmarkEnd w:id="63"/>
      <w:r>
        <w:rPr>
          <w:rFonts w:hint="eastAsia" w:ascii="楷体" w:hAnsi="楷体" w:eastAsia="楷体"/>
          <w:szCs w:val="30"/>
        </w:rPr>
        <w:t>背景</w:t>
      </w:r>
      <w:bookmarkEnd w:id="64"/>
    </w:p>
    <w:p>
      <w:pPr>
        <w:spacing w:line="579" w:lineRule="exact"/>
        <w:ind w:firstLine="630" w:firstLineChars="200"/>
        <w:outlineLvl w:val="1"/>
        <w:rPr>
          <w:rFonts w:hAnsi="仿宋"/>
          <w:szCs w:val="30"/>
        </w:rPr>
      </w:pPr>
      <w:bookmarkStart w:id="65" w:name="_Toc29486_WPSOffice_Level2"/>
      <w:bookmarkStart w:id="66" w:name="_Toc13127655"/>
      <w:r>
        <w:rPr>
          <w:rFonts w:hint="eastAsia" w:hAnsi="仿宋"/>
          <w:szCs w:val="30"/>
        </w:rPr>
        <w:t>为深入贯彻落实党中央、省、市关于脱贫攻坚的重大战略部署，确保完成建档立卡贫困户和“直过民族”户达到“两不愁，三保障”的脱贫目标，玉溪市人民政府扶贫开发办公室（以下简称“市扶贫办”）按照《玉溪市人民政府关于玉溪市建档立卡贫困户和“直过民族”户危房改造及“直过民族”整村推进项目实施方案的批复》（玉政复〔2017〕94号）精神，开展玉溪市4534户建档立卡贫困户和“直过民族”户进行D级危房拆除重建以及53个“直过民族”公共基础设施建设整村推进项目。</w:t>
      </w:r>
    </w:p>
    <w:p>
      <w:pPr>
        <w:spacing w:line="579" w:lineRule="exact"/>
        <w:ind w:firstLine="630" w:firstLineChars="200"/>
        <w:outlineLvl w:val="1"/>
        <w:rPr>
          <w:color w:val="000000"/>
          <w:szCs w:val="30"/>
        </w:rPr>
      </w:pPr>
      <w:bookmarkStart w:id="67" w:name="_Toc9663_WPSOffice_Level2"/>
      <w:r>
        <w:rPr>
          <w:rFonts w:hint="eastAsia" w:ascii="楷体" w:hAnsi="楷体" w:eastAsia="楷体"/>
          <w:szCs w:val="30"/>
        </w:rPr>
        <w:t>（二）实施目的及依据</w:t>
      </w:r>
      <w:bookmarkEnd w:id="67"/>
    </w:p>
    <w:p>
      <w:pPr>
        <w:spacing w:line="579" w:lineRule="exact"/>
        <w:ind w:firstLine="630" w:firstLineChars="200"/>
        <w:outlineLvl w:val="1"/>
        <w:rPr>
          <w:rFonts w:hAnsi="仿宋"/>
          <w:szCs w:val="30"/>
        </w:rPr>
      </w:pPr>
      <w:r>
        <w:rPr>
          <w:rFonts w:hint="eastAsia" w:hAnsi="仿宋"/>
          <w:szCs w:val="30"/>
        </w:rPr>
        <w:t>为全面贯彻落实《中共中央 国务院关于打赢脱贫攻坚战的决定》（中发〔2015〕34号）、《中共云南省委 云南省人民政府关于深入贯彻落实中共中央国务院脱贫攻坚重大战略部署的决定》（云发〔2015〕38号）等中央和省市委扶贫开发工作会议精神，市委市政府印发了《玉溪市“十三五”脱贫攻坚规划》和《玉溪市人民政府关于玉溪市建档立卡贫困户和“直过民族”户危房改造及“直过民族”整村推进项目实施方案》等文件，明确要求坚持创新、协调、绿色、开放、共享发展理念，瞄准4534户建档立卡贫困户和“直过民族”户危房改造以及53个“直过民族”整村推进三类事项和人员，围绕“2015年强打基础、2017年消除贫困、2018年巩固提升，在全省率先全面建成小康社会”的攻坚目标。</w:t>
      </w:r>
    </w:p>
    <w:p>
      <w:pPr>
        <w:spacing w:line="579" w:lineRule="exact"/>
        <w:ind w:firstLine="630" w:firstLineChars="200"/>
        <w:outlineLvl w:val="1"/>
        <w:rPr>
          <w:rFonts w:hint="eastAsia" w:ascii="楷体" w:hAnsi="楷体" w:eastAsia="楷体"/>
          <w:szCs w:val="30"/>
        </w:rPr>
      </w:pPr>
      <w:bookmarkStart w:id="68" w:name="_Toc3432_WPSOffice_Level2"/>
      <w:bookmarkStart w:id="69" w:name="_Toc18258_WPSOffice_Level2"/>
      <w:bookmarkStart w:id="70" w:name="_Toc15120406"/>
      <w:r>
        <w:rPr>
          <w:rFonts w:hint="eastAsia" w:ascii="楷体" w:hAnsi="楷体" w:eastAsia="楷体"/>
          <w:szCs w:val="30"/>
        </w:rPr>
        <w:t>（三）预算安排</w:t>
      </w:r>
      <w:r>
        <w:rPr>
          <w:rFonts w:hint="eastAsia" w:ascii="楷体" w:hAnsi="楷体" w:eastAsia="楷体"/>
          <w:szCs w:val="30"/>
          <w:lang w:val="en-US" w:eastAsia="zh-CN"/>
        </w:rPr>
        <w:t>及使用</w:t>
      </w:r>
      <w:r>
        <w:rPr>
          <w:rFonts w:hint="eastAsia" w:ascii="楷体" w:hAnsi="楷体" w:eastAsia="楷体"/>
          <w:szCs w:val="30"/>
        </w:rPr>
        <w:t>情况</w:t>
      </w:r>
      <w:bookmarkEnd w:id="68"/>
      <w:bookmarkEnd w:id="69"/>
      <w:bookmarkEnd w:id="70"/>
    </w:p>
    <w:p>
      <w:pPr>
        <w:spacing w:line="579" w:lineRule="exact"/>
        <w:ind w:firstLine="630" w:firstLineChars="200"/>
        <w:outlineLvl w:val="1"/>
        <w:rPr>
          <w:rFonts w:hint="eastAsia" w:hAnsi="仿宋"/>
          <w:szCs w:val="30"/>
        </w:rPr>
      </w:pPr>
      <w:r>
        <w:rPr>
          <w:rFonts w:hint="eastAsia" w:hAnsi="仿宋"/>
          <w:szCs w:val="30"/>
        </w:rPr>
        <w:t>根据《玉溪市人民政府关于通过扶贫过桥贷款解决建档立卡贫困户和“直过民族”户危房改造及“直过民族”整村推进项目资金的批复》（玉政复〔2017〕95号）和《玉溪市人民政府扶贫开发办公室 玉溪市住房和城乡建设局关于下达建档立卡贫困户和“直过民族”户危房改造及“直过民族”整村推进项目资金的通知》（玉扶发〔2017〕36号）文件，2017年11月由农林投公司从农发行贷款30,770万元，其中用于建档立卡贫困户和“直过民族”户危房改造补助资金22,670万元，“直过民族”整村推进补助资金8,100万元，2017年12月由玉溪市农林投资开发有限公司下拨至各县（区）。</w:t>
      </w:r>
      <w:r>
        <w:rPr>
          <w:rFonts w:hint="eastAsia" w:hAnsi="仿宋"/>
          <w:szCs w:val="30"/>
          <w:lang w:val="en-US" w:eastAsia="zh-CN"/>
        </w:rPr>
        <w:t>2018年玉溪市财政局安排6500万元用于支付项目本金和利息以及50万元项目平台运行管理费。</w:t>
      </w:r>
      <w:r>
        <w:rPr>
          <w:rFonts w:hint="eastAsia" w:hAnsi="仿宋"/>
          <w:szCs w:val="30"/>
        </w:rPr>
        <w:t>截至评价日，建档立卡贫困户和“直过民族”户</w:t>
      </w:r>
      <w:r>
        <w:rPr>
          <w:rFonts w:hint="eastAsia" w:hAnsi="仿宋"/>
          <w:szCs w:val="30"/>
          <w:lang w:val="en-US" w:eastAsia="zh-CN"/>
        </w:rPr>
        <w:t>危房改造</w:t>
      </w:r>
      <w:r>
        <w:rPr>
          <w:rFonts w:hint="eastAsia" w:hAnsi="仿宋"/>
          <w:szCs w:val="30"/>
        </w:rPr>
        <w:t>以及“直过民族”整村推进项目总资金30,770万元，实际资金使用23</w:t>
      </w:r>
      <w:r>
        <w:rPr>
          <w:rFonts w:hint="eastAsia" w:hAnsi="仿宋"/>
          <w:szCs w:val="30"/>
          <w:lang w:val="en-US" w:eastAsia="zh-CN"/>
        </w:rPr>
        <w:t>,</w:t>
      </w:r>
      <w:r>
        <w:rPr>
          <w:rFonts w:hint="eastAsia" w:hAnsi="仿宋"/>
          <w:szCs w:val="30"/>
        </w:rPr>
        <w:t>359.19万元，资金使用率</w:t>
      </w:r>
      <w:r>
        <w:rPr>
          <w:rFonts w:hint="eastAsia" w:hAnsi="仿宋"/>
          <w:szCs w:val="30"/>
          <w:lang w:val="en-US" w:eastAsia="zh-CN"/>
        </w:rPr>
        <w:t>75.91</w:t>
      </w:r>
      <w:r>
        <w:rPr>
          <w:rFonts w:hint="eastAsia" w:hAnsi="仿宋"/>
          <w:szCs w:val="30"/>
        </w:rPr>
        <w:t>%。详见表1和表2。</w:t>
      </w:r>
    </w:p>
    <w:p>
      <w:pPr>
        <w:ind w:firstLine="510" w:firstLineChars="200"/>
        <w:jc w:val="center"/>
        <w:rPr>
          <w:rFonts w:ascii="黑体" w:hAnsi="黑体" w:eastAsia="黑体" w:cs="黑体"/>
          <w:sz w:val="24"/>
          <w:szCs w:val="24"/>
        </w:rPr>
      </w:pPr>
      <w:r>
        <w:rPr>
          <w:rFonts w:hint="eastAsia" w:ascii="黑体" w:hAnsi="黑体" w:eastAsia="黑体" w:cs="黑体"/>
          <w:sz w:val="24"/>
          <w:szCs w:val="24"/>
        </w:rPr>
        <w:t>表1 预算批复及资金下达拨付情况</w:t>
      </w:r>
    </w:p>
    <w:p>
      <w:pPr>
        <w:ind w:firstLine="510" w:firstLineChars="200"/>
        <w:jc w:val="right"/>
        <w:rPr>
          <w:rFonts w:ascii="黑体" w:hAnsi="黑体" w:eastAsia="黑体" w:cs="黑体"/>
          <w:sz w:val="24"/>
          <w:szCs w:val="24"/>
        </w:rPr>
      </w:pPr>
      <w:bookmarkStart w:id="71" w:name="_Toc18507_WPSOffice_Level2"/>
      <w:r>
        <w:rPr>
          <w:rFonts w:hint="eastAsia" w:ascii="黑体" w:hAnsi="黑体" w:eastAsia="黑体" w:cs="黑体"/>
          <w:sz w:val="24"/>
          <w:szCs w:val="24"/>
        </w:rPr>
        <w:t>金额单位：万元</w:t>
      </w:r>
      <w:bookmarkEnd w:id="71"/>
    </w:p>
    <w:tbl>
      <w:tblPr>
        <w:tblStyle w:val="17"/>
        <w:tblW w:w="8791" w:type="dxa"/>
        <w:tblInd w:w="0" w:type="dxa"/>
        <w:tblLayout w:type="fixed"/>
        <w:tblCellMar>
          <w:top w:w="0" w:type="dxa"/>
          <w:left w:w="0" w:type="dxa"/>
          <w:bottom w:w="0" w:type="dxa"/>
          <w:right w:w="0" w:type="dxa"/>
        </w:tblCellMar>
      </w:tblPr>
      <w:tblGrid>
        <w:gridCol w:w="1287"/>
        <w:gridCol w:w="979"/>
        <w:gridCol w:w="1515"/>
        <w:gridCol w:w="1815"/>
        <w:gridCol w:w="1650"/>
        <w:gridCol w:w="1545"/>
      </w:tblGrid>
      <w:tr>
        <w:tblPrEx>
          <w:tblCellMar>
            <w:top w:w="0" w:type="dxa"/>
            <w:left w:w="0" w:type="dxa"/>
            <w:bottom w:w="0" w:type="dxa"/>
            <w:right w:w="0" w:type="dxa"/>
          </w:tblCellMar>
        </w:tblPrEx>
        <w:trPr>
          <w:trHeight w:val="540" w:hRule="atLeast"/>
        </w:trPr>
        <w:tc>
          <w:tcPr>
            <w:tcW w:w="8791" w:type="dxa"/>
            <w:gridSpan w:val="6"/>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建档立卡贫困户和“直过民族”户危房改造及“直过民族”整村推进贷款资金情况</w:t>
            </w:r>
          </w:p>
        </w:tc>
      </w:tr>
      <w:tr>
        <w:tblPrEx>
          <w:tblCellMar>
            <w:top w:w="0" w:type="dxa"/>
            <w:left w:w="0" w:type="dxa"/>
            <w:bottom w:w="0" w:type="dxa"/>
            <w:right w:w="0" w:type="dxa"/>
          </w:tblCellMar>
        </w:tblPrEx>
        <w:trPr>
          <w:trHeight w:val="54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县区</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总资金</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危房改造资金</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危房改造户数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整村推进资金</w:t>
            </w:r>
          </w:p>
        </w:tc>
        <w:tc>
          <w:tcPr>
            <w:tcW w:w="15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整村推进个数</w:t>
            </w:r>
          </w:p>
        </w:tc>
      </w:tr>
      <w:tr>
        <w:tblPrEx>
          <w:tblCellMar>
            <w:top w:w="0" w:type="dxa"/>
            <w:left w:w="0" w:type="dxa"/>
            <w:bottom w:w="0" w:type="dxa"/>
            <w:right w:w="0" w:type="dxa"/>
          </w:tblCellMar>
        </w:tblPrEx>
        <w:trPr>
          <w:trHeight w:val="455"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合计</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30770</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22670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4534</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sz w:val="21"/>
              </w:rPr>
            </w:pPr>
            <w:r>
              <w:rPr>
                <w:rFonts w:hint="eastAsia" w:ascii="宋体" w:hAnsi="宋体" w:eastAsia="宋体" w:cs="宋体"/>
                <w:b/>
                <w:color w:val="000000"/>
                <w:kern w:val="0"/>
                <w:sz w:val="21"/>
                <w:lang w:bidi="ar"/>
              </w:rPr>
              <w:t>8100</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53</w:t>
            </w:r>
          </w:p>
        </w:tc>
      </w:tr>
      <w:tr>
        <w:tblPrEx>
          <w:tblCellMar>
            <w:top w:w="0" w:type="dxa"/>
            <w:left w:w="0" w:type="dxa"/>
            <w:bottom w:w="0" w:type="dxa"/>
            <w:right w:w="0" w:type="dxa"/>
          </w:tblCellMar>
        </w:tblPrEx>
        <w:trPr>
          <w:trHeight w:val="53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红塔区</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1250</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1250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250</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48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江川区</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3465</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3465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693</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44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澄江县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1055</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1055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211</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455"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通海县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1280</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1280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256</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46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华宁县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2700</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2700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540</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443"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易门县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615</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615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123</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33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峨山县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1150</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1150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230</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w:t>
            </w:r>
          </w:p>
        </w:tc>
      </w:tr>
      <w:tr>
        <w:tblPrEx>
          <w:tblCellMar>
            <w:top w:w="0" w:type="dxa"/>
            <w:left w:w="0" w:type="dxa"/>
            <w:bottom w:w="0" w:type="dxa"/>
            <w:right w:w="0" w:type="dxa"/>
          </w:tblCellMar>
        </w:tblPrEx>
        <w:trPr>
          <w:trHeight w:val="480"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新平县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14785</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7785</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1557</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7000</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46</w:t>
            </w:r>
          </w:p>
        </w:tc>
      </w:tr>
      <w:tr>
        <w:tblPrEx>
          <w:tblCellMar>
            <w:top w:w="0" w:type="dxa"/>
            <w:left w:w="0" w:type="dxa"/>
            <w:bottom w:w="0" w:type="dxa"/>
            <w:right w:w="0" w:type="dxa"/>
          </w:tblCellMar>
        </w:tblPrEx>
        <w:trPr>
          <w:trHeight w:val="493" w:hRule="atLeast"/>
        </w:trPr>
        <w:tc>
          <w:tcPr>
            <w:tcW w:w="1287"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元江县</w:t>
            </w:r>
          </w:p>
        </w:tc>
        <w:tc>
          <w:tcPr>
            <w:tcW w:w="97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4470</w:t>
            </w:r>
          </w:p>
        </w:tc>
        <w:tc>
          <w:tcPr>
            <w:tcW w:w="15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3370</w:t>
            </w:r>
          </w:p>
        </w:tc>
        <w:tc>
          <w:tcPr>
            <w:tcW w:w="181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674</w:t>
            </w:r>
          </w:p>
        </w:tc>
        <w:tc>
          <w:tcPr>
            <w:tcW w:w="165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21"/>
              </w:rPr>
            </w:pPr>
            <w:r>
              <w:rPr>
                <w:rFonts w:hint="eastAsia" w:ascii="宋体" w:hAnsi="宋体" w:eastAsia="宋体" w:cs="宋体"/>
                <w:color w:val="000000"/>
                <w:kern w:val="0"/>
                <w:sz w:val="21"/>
                <w:lang w:bidi="ar"/>
              </w:rPr>
              <w:t>1100</w:t>
            </w:r>
          </w:p>
        </w:tc>
        <w:tc>
          <w:tcPr>
            <w:tcW w:w="15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7</w:t>
            </w:r>
          </w:p>
        </w:tc>
      </w:tr>
    </w:tbl>
    <w:p>
      <w:pPr>
        <w:widowControl/>
        <w:adjustRightInd w:val="0"/>
        <w:snapToGrid w:val="0"/>
        <w:jc w:val="center"/>
        <w:rPr>
          <w:rFonts w:ascii="黑体" w:hAnsi="黑体" w:eastAsia="黑体" w:cs="黑体"/>
          <w:sz w:val="24"/>
          <w:szCs w:val="24"/>
        </w:rPr>
      </w:pPr>
    </w:p>
    <w:p>
      <w:pPr>
        <w:widowControl/>
        <w:adjustRightInd w:val="0"/>
        <w:snapToGrid w:val="0"/>
        <w:jc w:val="both"/>
        <w:rPr>
          <w:rFonts w:hint="eastAsia" w:ascii="黑体" w:hAnsi="黑体" w:eastAsia="黑体" w:cs="黑体"/>
          <w:sz w:val="24"/>
          <w:szCs w:val="24"/>
        </w:rPr>
      </w:pPr>
    </w:p>
    <w:p>
      <w:pPr>
        <w:widowControl/>
        <w:adjustRightInd w:val="0"/>
        <w:snapToGrid w:val="0"/>
        <w:jc w:val="center"/>
        <w:rPr>
          <w:rFonts w:hint="eastAsia" w:ascii="黑体" w:hAnsi="黑体" w:eastAsia="黑体" w:cs="黑体"/>
          <w:sz w:val="24"/>
          <w:szCs w:val="24"/>
        </w:rPr>
      </w:pPr>
    </w:p>
    <w:p>
      <w:pPr>
        <w:widowControl/>
        <w:adjustRightInd w:val="0"/>
        <w:snapToGrid w:val="0"/>
        <w:jc w:val="center"/>
        <w:rPr>
          <w:rFonts w:ascii="黑体" w:hAnsi="黑体" w:eastAsia="黑体"/>
          <w:sz w:val="24"/>
          <w:szCs w:val="24"/>
        </w:rPr>
      </w:pPr>
      <w:r>
        <w:rPr>
          <w:rFonts w:hint="eastAsia" w:ascii="黑体" w:hAnsi="黑体" w:eastAsia="黑体" w:cs="黑体"/>
          <w:sz w:val="24"/>
          <w:szCs w:val="24"/>
        </w:rPr>
        <w:t xml:space="preserve">表2 </w:t>
      </w:r>
      <w:r>
        <w:rPr>
          <w:rFonts w:hint="eastAsia" w:ascii="黑体" w:hAnsi="黑体" w:eastAsia="黑体"/>
          <w:sz w:val="24"/>
          <w:szCs w:val="24"/>
        </w:rPr>
        <w:t>建档立卡贫困户和“直过民族”户以及支付“直过民族”整村推进</w:t>
      </w:r>
    </w:p>
    <w:p>
      <w:pPr>
        <w:widowControl/>
        <w:adjustRightInd w:val="0"/>
        <w:snapToGrid w:val="0"/>
        <w:jc w:val="center"/>
        <w:rPr>
          <w:rFonts w:ascii="黑体" w:hAnsi="黑体" w:eastAsia="黑体"/>
          <w:kern w:val="2"/>
          <w:sz w:val="24"/>
          <w:szCs w:val="24"/>
        </w:rPr>
      </w:pPr>
      <w:r>
        <w:rPr>
          <w:rFonts w:hint="eastAsia" w:ascii="黑体" w:hAnsi="黑体" w:eastAsia="黑体"/>
          <w:sz w:val="24"/>
          <w:szCs w:val="24"/>
        </w:rPr>
        <w:t>资金使用情况表</w:t>
      </w:r>
    </w:p>
    <w:p>
      <w:pPr>
        <w:ind w:firstLine="510" w:firstLineChars="200"/>
        <w:jc w:val="right"/>
        <w:rPr>
          <w:rFonts w:hint="eastAsia" w:ascii="黑体" w:hAnsi="黑体" w:eastAsia="黑体" w:cs="黑体"/>
          <w:sz w:val="24"/>
          <w:szCs w:val="24"/>
        </w:rPr>
      </w:pPr>
      <w:r>
        <w:rPr>
          <w:rFonts w:hint="eastAsia" w:ascii="黑体" w:hAnsi="黑体" w:eastAsia="黑体" w:cs="黑体"/>
          <w:sz w:val="24"/>
          <w:szCs w:val="24"/>
        </w:rPr>
        <w:t>金额单位：万元</w:t>
      </w:r>
    </w:p>
    <w:tbl>
      <w:tblPr>
        <w:tblStyle w:val="17"/>
        <w:tblW w:w="8828" w:type="dxa"/>
        <w:tblInd w:w="0" w:type="dxa"/>
        <w:tblLayout w:type="fixed"/>
        <w:tblCellMar>
          <w:top w:w="0" w:type="dxa"/>
          <w:left w:w="0" w:type="dxa"/>
          <w:bottom w:w="0" w:type="dxa"/>
          <w:right w:w="0" w:type="dxa"/>
        </w:tblCellMar>
      </w:tblPr>
      <w:tblGrid>
        <w:gridCol w:w="1365"/>
        <w:gridCol w:w="1138"/>
        <w:gridCol w:w="2075"/>
        <w:gridCol w:w="1625"/>
        <w:gridCol w:w="2625"/>
      </w:tblGrid>
      <w:tr>
        <w:tblPrEx>
          <w:tblCellMar>
            <w:top w:w="0" w:type="dxa"/>
            <w:left w:w="0" w:type="dxa"/>
            <w:bottom w:w="0" w:type="dxa"/>
            <w:right w:w="0" w:type="dxa"/>
          </w:tblCellMar>
        </w:tblPrEx>
        <w:trPr>
          <w:trHeight w:val="1013"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县区</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总资金</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实际资金使用</w:t>
            </w:r>
          </w:p>
        </w:tc>
        <w:tc>
          <w:tcPr>
            <w:tcW w:w="1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实际改造户数</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资金使用率</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玉溪市合计</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30770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23359.19</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3928</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val="en-US" w:eastAsia="zh-CN" w:bidi="ar"/>
              </w:rPr>
              <w:t>75.91</w:t>
            </w:r>
            <w:r>
              <w:rPr>
                <w:rFonts w:hint="eastAsia" w:ascii="宋体" w:hAnsi="宋体" w:eastAsia="宋体" w:cs="宋体"/>
                <w:b/>
                <w:color w:val="000000"/>
                <w:kern w:val="0"/>
                <w:sz w:val="21"/>
                <w:lang w:bidi="ar"/>
              </w:rPr>
              <w:t>%</w:t>
            </w:r>
          </w:p>
        </w:tc>
      </w:tr>
      <w:tr>
        <w:tblPrEx>
          <w:tblCellMar>
            <w:top w:w="0" w:type="dxa"/>
            <w:left w:w="0" w:type="dxa"/>
            <w:bottom w:w="0" w:type="dxa"/>
            <w:right w:w="0" w:type="dxa"/>
          </w:tblCellMar>
        </w:tblPrEx>
        <w:trPr>
          <w:trHeight w:val="434"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红塔区</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1250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268.52</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75</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21.48%</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江川区</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3465</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2010</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536</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58%</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澄江县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1055</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790</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157</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74.88%</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通海县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1280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542.98</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174</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42.42%</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华宁县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2700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2501</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504</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92.63%</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易门县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615</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549.98</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168</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89.43%</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峨山县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1150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Cs/>
                <w:color w:val="000000"/>
                <w:kern w:val="0"/>
                <w:sz w:val="21"/>
                <w:lang w:val="en-US" w:eastAsia="zh-CN" w:bidi="ar"/>
              </w:rPr>
            </w:pPr>
            <w:r>
              <w:rPr>
                <w:rFonts w:hint="eastAsia" w:ascii="宋体" w:hAnsi="宋体" w:eastAsia="宋体" w:cs="宋体"/>
                <w:bCs/>
                <w:color w:val="000000"/>
                <w:kern w:val="0"/>
                <w:sz w:val="21"/>
                <w:lang w:bidi="ar"/>
              </w:rPr>
              <w:t>598.4</w:t>
            </w:r>
            <w:r>
              <w:rPr>
                <w:rFonts w:hint="eastAsia" w:ascii="宋体" w:hAnsi="宋体" w:eastAsia="宋体" w:cs="宋体"/>
                <w:bCs/>
                <w:color w:val="000000"/>
                <w:kern w:val="0"/>
                <w:sz w:val="21"/>
                <w:lang w:val="en-US" w:eastAsia="zh-CN" w:bidi="ar"/>
              </w:rPr>
              <w:t>0</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202</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52.03%</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新平县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14785</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12090.91</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1506</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val="en-US" w:eastAsia="zh-CN" w:bidi="ar"/>
              </w:rPr>
              <w:t>81.77</w:t>
            </w:r>
            <w:r>
              <w:rPr>
                <w:rFonts w:hint="eastAsia" w:ascii="宋体" w:hAnsi="宋体" w:eastAsia="宋体" w:cs="宋体"/>
                <w:bCs/>
                <w:color w:val="000000"/>
                <w:kern w:val="0"/>
                <w:sz w:val="21"/>
                <w:lang w:bidi="ar"/>
              </w:rPr>
              <w:t>%</w:t>
            </w:r>
          </w:p>
        </w:tc>
      </w:tr>
      <w:tr>
        <w:tblPrEx>
          <w:tblCellMar>
            <w:top w:w="0" w:type="dxa"/>
            <w:left w:w="0" w:type="dxa"/>
            <w:bottom w:w="0" w:type="dxa"/>
            <w:right w:w="0" w:type="dxa"/>
          </w:tblCellMar>
        </w:tblPrEx>
        <w:trPr>
          <w:trHeight w:val="270" w:hRule="atLeast"/>
        </w:trPr>
        <w:tc>
          <w:tcPr>
            <w:tcW w:w="136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元江县</w:t>
            </w:r>
          </w:p>
        </w:tc>
        <w:tc>
          <w:tcPr>
            <w:tcW w:w="113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4470</w:t>
            </w:r>
          </w:p>
        </w:tc>
        <w:tc>
          <w:tcPr>
            <w:tcW w:w="207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hint="eastAsia" w:ascii="宋体" w:hAnsi="宋体" w:eastAsia="宋体" w:cs="宋体"/>
                <w:bCs/>
                <w:color w:val="000000"/>
                <w:kern w:val="0"/>
                <w:sz w:val="21"/>
                <w:lang w:val="en-US" w:eastAsia="zh-CN" w:bidi="ar"/>
              </w:rPr>
            </w:pPr>
            <w:r>
              <w:rPr>
                <w:rFonts w:hint="eastAsia" w:ascii="宋体" w:hAnsi="宋体" w:eastAsia="宋体" w:cs="宋体"/>
                <w:bCs/>
                <w:color w:val="000000"/>
                <w:kern w:val="0"/>
                <w:sz w:val="21"/>
                <w:lang w:bidi="ar"/>
              </w:rPr>
              <w:t>4007.4</w:t>
            </w:r>
            <w:r>
              <w:rPr>
                <w:rFonts w:hint="eastAsia" w:ascii="宋体" w:hAnsi="宋体" w:eastAsia="宋体" w:cs="宋体"/>
                <w:bCs/>
                <w:color w:val="000000"/>
                <w:kern w:val="0"/>
                <w:sz w:val="21"/>
                <w:lang w:val="en-US" w:eastAsia="zh-CN" w:bidi="ar"/>
              </w:rPr>
              <w:t>0</w:t>
            </w:r>
          </w:p>
        </w:tc>
        <w:tc>
          <w:tcPr>
            <w:tcW w:w="1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606</w:t>
            </w:r>
          </w:p>
        </w:tc>
        <w:tc>
          <w:tcPr>
            <w:tcW w:w="262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89.65%</w:t>
            </w:r>
          </w:p>
        </w:tc>
      </w:tr>
      <w:bookmarkEnd w:id="65"/>
    </w:tbl>
    <w:p>
      <w:pPr>
        <w:spacing w:line="579" w:lineRule="exact"/>
        <w:ind w:firstLine="630" w:firstLineChars="200"/>
        <w:outlineLvl w:val="1"/>
        <w:rPr>
          <w:rFonts w:ascii="楷体" w:hAnsi="楷体" w:eastAsia="楷体"/>
          <w:szCs w:val="30"/>
        </w:rPr>
      </w:pPr>
      <w:bookmarkStart w:id="72" w:name="_Toc14947_WPSOffice_Level2"/>
      <w:r>
        <w:rPr>
          <w:rFonts w:hint="eastAsia" w:ascii="楷体" w:hAnsi="楷体" w:eastAsia="楷体"/>
          <w:szCs w:val="30"/>
        </w:rPr>
        <w:t>（四）实施内容</w:t>
      </w:r>
      <w:bookmarkEnd w:id="66"/>
      <w:bookmarkEnd w:id="72"/>
    </w:p>
    <w:p>
      <w:pPr>
        <w:spacing w:line="579" w:lineRule="exact"/>
        <w:ind w:firstLine="630" w:firstLineChars="200"/>
        <w:rPr>
          <w:rFonts w:hAnsi="仿宋"/>
          <w:szCs w:val="30"/>
        </w:rPr>
      </w:pPr>
      <w:bookmarkStart w:id="73" w:name="_Toc13127656"/>
      <w:r>
        <w:rPr>
          <w:rFonts w:hint="eastAsia" w:hAnsi="仿宋"/>
          <w:szCs w:val="30"/>
        </w:rPr>
        <w:t>1.建档立卡贫困户和“直过民族”</w:t>
      </w:r>
      <w:r>
        <w:rPr>
          <w:rFonts w:hint="eastAsia" w:hAnsi="仿宋"/>
          <w:szCs w:val="30"/>
          <w:lang w:val="en-US" w:eastAsia="zh-CN"/>
        </w:rPr>
        <w:t>户</w:t>
      </w:r>
      <w:r>
        <w:rPr>
          <w:rFonts w:hint="eastAsia" w:hAnsi="仿宋"/>
          <w:szCs w:val="30"/>
        </w:rPr>
        <w:t>危房改造</w:t>
      </w:r>
    </w:p>
    <w:p>
      <w:pPr>
        <w:spacing w:line="579" w:lineRule="exact"/>
        <w:ind w:firstLine="630" w:firstLineChars="200"/>
        <w:rPr>
          <w:rFonts w:hAnsi="仿宋"/>
          <w:szCs w:val="30"/>
        </w:rPr>
      </w:pPr>
      <w:r>
        <w:rPr>
          <w:rFonts w:hint="eastAsia" w:hAnsi="仿宋"/>
          <w:szCs w:val="30"/>
        </w:rPr>
        <w:t>实施建档立卡贫困户和“直过民族”户危房改造4534户，涉及全市9个县</w:t>
      </w:r>
      <w:r>
        <w:rPr>
          <w:rFonts w:hint="eastAsia" w:hAnsi="仿宋"/>
          <w:szCs w:val="30"/>
          <w:lang w:eastAsia="zh-CN"/>
        </w:rPr>
        <w:t>（</w:t>
      </w:r>
      <w:r>
        <w:rPr>
          <w:rFonts w:hint="eastAsia" w:hAnsi="仿宋"/>
          <w:szCs w:val="30"/>
        </w:rPr>
        <w:t>区</w:t>
      </w:r>
      <w:r>
        <w:rPr>
          <w:rFonts w:hint="eastAsia" w:hAnsi="仿宋"/>
          <w:szCs w:val="30"/>
          <w:lang w:eastAsia="zh-CN"/>
        </w:rPr>
        <w:t>）</w:t>
      </w:r>
      <w:r>
        <w:rPr>
          <w:rFonts w:hint="eastAsia" w:hAnsi="仿宋"/>
          <w:szCs w:val="30"/>
        </w:rPr>
        <w:t>，其中：建档立卡贫困户3898户（“直过民族”建档立卡贫困户200户）、符合农村贫困人口建档立卡条件“直过民族”636户。建档立卡贫困户危房就地就近拆除新建，按照村庄规划和各县区对当地民居设计要求，就地就近拆除新建的，按每户5万元计补；“直过民族”户危房就地就近拆除新建</w:t>
      </w:r>
      <w:r>
        <w:rPr>
          <w:rFonts w:hint="eastAsia" w:hAnsi="仿宋"/>
          <w:szCs w:val="30"/>
          <w:lang w:val="en-US" w:eastAsia="zh-CN"/>
        </w:rPr>
        <w:t>的</w:t>
      </w:r>
      <w:r>
        <w:rPr>
          <w:rFonts w:hint="eastAsia" w:hAnsi="仿宋"/>
          <w:szCs w:val="30"/>
        </w:rPr>
        <w:t>，按每户5万元计补。</w:t>
      </w:r>
    </w:p>
    <w:p>
      <w:pPr>
        <w:spacing w:line="579" w:lineRule="exact"/>
        <w:ind w:firstLine="630" w:firstLineChars="200"/>
        <w:rPr>
          <w:rFonts w:hAnsi="仿宋"/>
          <w:szCs w:val="30"/>
        </w:rPr>
      </w:pPr>
      <w:r>
        <w:rPr>
          <w:rFonts w:hint="eastAsia" w:hAnsi="仿宋"/>
          <w:szCs w:val="30"/>
        </w:rPr>
        <w:t>2.“直过民族”整村推进</w:t>
      </w:r>
    </w:p>
    <w:p>
      <w:pPr>
        <w:spacing w:line="579" w:lineRule="exact"/>
        <w:ind w:firstLine="630" w:firstLineChars="200"/>
        <w:rPr>
          <w:rFonts w:hAnsi="仿宋"/>
          <w:szCs w:val="30"/>
        </w:rPr>
      </w:pPr>
      <w:r>
        <w:rPr>
          <w:rFonts w:hint="eastAsia" w:hAnsi="仿宋"/>
          <w:szCs w:val="30"/>
        </w:rPr>
        <w:t>实施“直过民族”整村推进53个，涉及新平县和元江县，其中：“直过民族”拉祜族人口比例30%以上的行政村4个，“直过民族”拉祜族人口比例30%以上、农户数40户（含40户）以上的自然村20个，“直过民族”拉祜族人口比例30%以上、农户数20—39户的自然村29个。拉祜族人口比例30%以上的行政村，每个整村推进补助300万元；拉祜族人口比例30%以上、农户数40户（含40户）以上的自然村，每个整村推进补助200万元；拉祜族人口比例30%以上、农户数20—39户的自然村，每个整村推进补助100万元。</w:t>
      </w:r>
    </w:p>
    <w:p>
      <w:pPr>
        <w:spacing w:line="579" w:lineRule="exact"/>
        <w:ind w:firstLine="630" w:firstLineChars="200"/>
        <w:outlineLvl w:val="1"/>
        <w:rPr>
          <w:rFonts w:ascii="楷体" w:hAnsi="楷体" w:eastAsia="楷体"/>
          <w:szCs w:val="30"/>
        </w:rPr>
      </w:pPr>
      <w:bookmarkStart w:id="74" w:name="_Toc22531_WPSOffice_Level2"/>
      <w:r>
        <w:rPr>
          <w:rFonts w:hint="eastAsia" w:ascii="楷体" w:hAnsi="楷体" w:eastAsia="楷体"/>
          <w:szCs w:val="30"/>
        </w:rPr>
        <w:t>（五）绩效目标设立情况</w:t>
      </w:r>
      <w:bookmarkEnd w:id="73"/>
      <w:bookmarkEnd w:id="74"/>
    </w:p>
    <w:p>
      <w:pPr>
        <w:spacing w:line="579" w:lineRule="exact"/>
        <w:ind w:firstLine="630" w:firstLineChars="200"/>
        <w:rPr>
          <w:rFonts w:hAnsi="仿宋"/>
          <w:szCs w:val="30"/>
        </w:rPr>
      </w:pPr>
      <w:bookmarkStart w:id="75" w:name="_Hlk525314309"/>
      <w:r>
        <w:rPr>
          <w:rFonts w:hint="eastAsia" w:hAnsi="仿宋"/>
          <w:szCs w:val="30"/>
        </w:rPr>
        <w:t>1.项目绩效目标和绩效指标情况。</w:t>
      </w:r>
    </w:p>
    <w:p>
      <w:pPr>
        <w:spacing w:line="579" w:lineRule="exact"/>
        <w:ind w:firstLine="630" w:firstLineChars="200"/>
        <w:rPr>
          <w:rFonts w:hAnsi="仿宋"/>
          <w:szCs w:val="30"/>
        </w:rPr>
      </w:pPr>
      <w:r>
        <w:rPr>
          <w:rFonts w:hint="eastAsia" w:hAnsi="仿宋"/>
          <w:szCs w:val="30"/>
        </w:rPr>
        <w:t>评价过程中，通过与项目资金主管部门及项目实施单位的确认，本项目资金使用单位年初申报预算时未提交绩效目标和绩效指标。</w:t>
      </w:r>
    </w:p>
    <w:p>
      <w:pPr>
        <w:spacing w:line="579" w:lineRule="exact"/>
        <w:ind w:firstLine="630" w:firstLineChars="200"/>
        <w:rPr>
          <w:rFonts w:hAnsi="仿宋"/>
          <w:szCs w:val="30"/>
        </w:rPr>
      </w:pPr>
      <w:r>
        <w:rPr>
          <w:rFonts w:hint="eastAsia" w:hAnsi="仿宋"/>
          <w:szCs w:val="30"/>
        </w:rPr>
        <w:t>2.绩效再评价调整后的绩效目标和绩效指标情况</w:t>
      </w:r>
    </w:p>
    <w:bookmarkEnd w:id="75"/>
    <w:p>
      <w:pPr>
        <w:spacing w:line="579" w:lineRule="exact"/>
        <w:ind w:firstLine="630" w:firstLineChars="200"/>
        <w:rPr>
          <w:rFonts w:hAnsi="仿宋"/>
          <w:szCs w:val="30"/>
        </w:rPr>
      </w:pPr>
      <w:r>
        <w:rPr>
          <w:rFonts w:hint="eastAsia" w:hAnsi="仿宋"/>
          <w:szCs w:val="30"/>
        </w:rPr>
        <w:t>在与各部门充分沟通后，全面梳理专项资金绩效目标和绩效指标。</w:t>
      </w:r>
    </w:p>
    <w:p>
      <w:pPr>
        <w:spacing w:line="579" w:lineRule="exact"/>
        <w:ind w:firstLine="630" w:firstLineChars="200"/>
        <w:rPr>
          <w:rFonts w:hint="eastAsia" w:hAnsi="仿宋"/>
          <w:szCs w:val="30"/>
        </w:rPr>
      </w:pPr>
      <w:r>
        <w:rPr>
          <w:rFonts w:hint="eastAsia" w:hAnsi="仿宋"/>
          <w:szCs w:val="30"/>
        </w:rPr>
        <w:t>2018年3月底前全面完成4534户建档立卡贫困户和53个“直过民族”户危房就地就近改造及“直过民族”整村推进项目建设。资金对付农户及时率100%，危房改造验收合格率100%、建成入住率达100%，整村推进项目审计完成率100%，提升房屋品质，有效解决建档立卡贫困户和“直过民族”户无安全稳固住房的问题。改造后实现人畜分离、厨卫入户等房屋品质提升目标，切实解决区域性生产、生活条件差的问题，提高人们的幸福感，受益对象满意度达90%以上。</w:t>
      </w:r>
    </w:p>
    <w:p>
      <w:pPr>
        <w:spacing w:line="579" w:lineRule="exact"/>
        <w:ind w:firstLine="630" w:firstLineChars="200"/>
        <w:outlineLvl w:val="1"/>
        <w:rPr>
          <w:rFonts w:ascii="楷体_GB2312" w:eastAsia="楷体_GB2312"/>
          <w:szCs w:val="30"/>
        </w:rPr>
      </w:pPr>
      <w:r>
        <w:fldChar w:fldCharType="begin"/>
      </w:r>
      <w:r>
        <w:instrText xml:space="preserve"> HYPERLINK \l "_Toc434746189" </w:instrText>
      </w:r>
      <w:r>
        <w:fldChar w:fldCharType="separate"/>
      </w:r>
      <w:bookmarkStart w:id="76" w:name="_Toc24604_WPSOffice_Level2"/>
      <w:bookmarkStart w:id="77" w:name="_Toc13127657"/>
      <w:r>
        <w:rPr>
          <w:rFonts w:hint="eastAsia" w:ascii="楷体" w:hAnsi="楷体" w:eastAsia="楷体"/>
          <w:szCs w:val="30"/>
        </w:rPr>
        <w:t>（六）</w:t>
      </w:r>
      <w:r>
        <w:rPr>
          <w:rFonts w:hint="eastAsia" w:ascii="楷体" w:hAnsi="楷体" w:eastAsia="楷体"/>
          <w:szCs w:val="30"/>
        </w:rPr>
        <w:fldChar w:fldCharType="end"/>
      </w:r>
      <w:r>
        <w:rPr>
          <w:rFonts w:hint="eastAsia" w:ascii="楷体" w:hAnsi="楷体" w:eastAsia="楷体"/>
          <w:szCs w:val="30"/>
        </w:rPr>
        <w:t>组织管理情</w:t>
      </w:r>
      <w:bookmarkEnd w:id="76"/>
      <w:r>
        <w:rPr>
          <w:rFonts w:hint="eastAsia" w:ascii="楷体" w:hAnsi="楷体" w:eastAsia="楷体"/>
          <w:szCs w:val="30"/>
        </w:rPr>
        <w:t>况</w:t>
      </w:r>
      <w:bookmarkEnd w:id="77"/>
    </w:p>
    <w:p>
      <w:pPr>
        <w:spacing w:line="579" w:lineRule="exact"/>
        <w:ind w:firstLine="630" w:firstLineChars="200"/>
        <w:rPr>
          <w:rFonts w:hAnsi="仿宋"/>
          <w:szCs w:val="30"/>
        </w:rPr>
      </w:pPr>
      <w:r>
        <w:rPr>
          <w:rFonts w:hint="eastAsia" w:hAnsi="仿宋"/>
          <w:szCs w:val="30"/>
        </w:rPr>
        <w:t>各县</w:t>
      </w:r>
      <w:r>
        <w:rPr>
          <w:rFonts w:hint="eastAsia" w:hAnsi="仿宋"/>
          <w:szCs w:val="30"/>
          <w:lang w:eastAsia="zh-CN"/>
        </w:rPr>
        <w:t>（</w:t>
      </w:r>
      <w:r>
        <w:rPr>
          <w:rFonts w:hint="eastAsia" w:hAnsi="仿宋"/>
          <w:szCs w:val="30"/>
        </w:rPr>
        <w:t>区</w:t>
      </w:r>
      <w:r>
        <w:rPr>
          <w:rFonts w:hint="eastAsia" w:hAnsi="仿宋"/>
          <w:szCs w:val="30"/>
          <w:lang w:eastAsia="zh-CN"/>
        </w:rPr>
        <w:t>）</w:t>
      </w:r>
      <w:r>
        <w:rPr>
          <w:rFonts w:hint="eastAsia" w:hAnsi="仿宋"/>
          <w:szCs w:val="30"/>
        </w:rPr>
        <w:t>党委、政府是建档立卡贫困户和“直过民族”</w:t>
      </w:r>
      <w:r>
        <w:rPr>
          <w:rFonts w:hint="eastAsia" w:hAnsi="仿宋"/>
          <w:szCs w:val="30"/>
          <w:lang w:val="en-US" w:eastAsia="zh-CN"/>
        </w:rPr>
        <w:t>户</w:t>
      </w:r>
      <w:r>
        <w:rPr>
          <w:rFonts w:hint="eastAsia" w:hAnsi="仿宋"/>
          <w:szCs w:val="30"/>
        </w:rPr>
        <w:t>危房改造及“直过民族”整村推进工作的责任主体，县</w:t>
      </w:r>
      <w:r>
        <w:rPr>
          <w:rFonts w:hint="eastAsia" w:hAnsi="仿宋"/>
          <w:szCs w:val="30"/>
          <w:lang w:eastAsia="zh-CN"/>
        </w:rPr>
        <w:t>（</w:t>
      </w:r>
      <w:r>
        <w:rPr>
          <w:rFonts w:hint="eastAsia" w:hAnsi="仿宋"/>
          <w:szCs w:val="30"/>
        </w:rPr>
        <w:t>区</w:t>
      </w:r>
      <w:r>
        <w:rPr>
          <w:rFonts w:hint="eastAsia" w:hAnsi="仿宋"/>
          <w:szCs w:val="30"/>
          <w:lang w:eastAsia="zh-CN"/>
        </w:rPr>
        <w:t>）</w:t>
      </w:r>
      <w:r>
        <w:rPr>
          <w:rFonts w:hint="eastAsia" w:hAnsi="仿宋"/>
          <w:szCs w:val="30"/>
        </w:rPr>
        <w:t>党委、政府主要领导要严格按照目标、任务、资金、权责“四到县”的工作机制，切实履行脱贫攻坚第一责任人的责任，负责统筹协调、明确任务、细化措施、压实责任。</w:t>
      </w:r>
    </w:p>
    <w:p>
      <w:pPr>
        <w:spacing w:line="579" w:lineRule="exact"/>
        <w:ind w:firstLine="630" w:firstLineChars="200"/>
        <w:rPr>
          <w:rFonts w:hAnsi="仿宋"/>
          <w:szCs w:val="30"/>
        </w:rPr>
      </w:pPr>
      <w:r>
        <w:rPr>
          <w:rFonts w:hint="eastAsia" w:hAnsi="仿宋"/>
          <w:szCs w:val="30"/>
        </w:rPr>
        <w:t>市县两级扶贫部门为本项目</w:t>
      </w:r>
      <w:r>
        <w:rPr>
          <w:rFonts w:hAnsi="仿宋"/>
          <w:szCs w:val="30"/>
        </w:rPr>
        <w:t>主管部门</w:t>
      </w:r>
      <w:r>
        <w:rPr>
          <w:rFonts w:hint="eastAsia" w:hAnsi="仿宋"/>
          <w:szCs w:val="30"/>
        </w:rPr>
        <w:t>，实施</w:t>
      </w:r>
      <w:r>
        <w:rPr>
          <w:rFonts w:hAnsi="仿宋"/>
          <w:szCs w:val="30"/>
        </w:rPr>
        <w:t>危房改造及整村推进工作，实行最严格的督查巡查制度。按照目标、任务、资金、权责“四到县”工作机制，实行每季一督查、半年一检查、全年一考核，强化对危房改造及整村推进工作督查考核。同时，按照中央和省脱贫攻坚督查巡查的有关规定，对工作不力的，实行严格问责，确保危房改造及整村推进按时按质按量完成。</w:t>
      </w:r>
    </w:p>
    <w:p>
      <w:pPr>
        <w:spacing w:line="579" w:lineRule="exact"/>
        <w:ind w:firstLine="630" w:firstLineChars="200"/>
        <w:rPr>
          <w:rFonts w:hAnsi="仿宋"/>
          <w:szCs w:val="30"/>
        </w:rPr>
      </w:pPr>
      <w:r>
        <w:rPr>
          <w:rFonts w:hint="eastAsia" w:hAnsi="仿宋"/>
          <w:szCs w:val="30"/>
        </w:rPr>
        <w:t>项目主管部门专门制定了《玉溪市建档立卡贫困户和“直过民族”易地扶贫搬迁及危房改造项目融资贷款资金管理办法》（玉扶组发〔2017）9号），为加强玉溪市建档立卡贫困户和“直过民族”易地扶贫搬迁及危房改造项目融资贷款资金管理，明确职责，规范融资贷款资金使用管理，确保融资贷款资金安全，提高资金使用效益。</w:t>
      </w:r>
    </w:p>
    <w:p>
      <w:pPr>
        <w:spacing w:line="579" w:lineRule="exact"/>
        <w:ind w:firstLine="630" w:firstLineChars="200"/>
        <w:rPr>
          <w:rFonts w:hAnsi="仿宋"/>
          <w:szCs w:val="30"/>
        </w:rPr>
      </w:pPr>
      <w:r>
        <w:rPr>
          <w:rFonts w:hint="eastAsia" w:hAnsi="仿宋"/>
          <w:szCs w:val="30"/>
        </w:rPr>
        <w:t>1.职责分工</w:t>
      </w:r>
    </w:p>
    <w:p>
      <w:pPr>
        <w:spacing w:line="579" w:lineRule="exact"/>
        <w:ind w:firstLine="630" w:firstLineChars="200"/>
        <w:rPr>
          <w:rFonts w:hAnsi="仿宋"/>
          <w:szCs w:val="30"/>
          <w:highlight w:val="none"/>
        </w:rPr>
      </w:pPr>
      <w:r>
        <w:rPr>
          <w:rFonts w:hint="eastAsia" w:hAnsi="仿宋"/>
          <w:szCs w:val="30"/>
        </w:rPr>
        <w:t>市扶贫办为本项目的主管部门，负责本项目实施及资金的审核、监督和事前事中事后检查。各县（区）扶贫办为专项资金使用申报单位和项目实施单位，负责向项目主管部门申报项目资金以及按照申报内容，开展项目实施，正确使用资金，发挥财政资</w:t>
      </w:r>
      <w:r>
        <w:rPr>
          <w:rFonts w:hint="eastAsia" w:hAnsi="仿宋"/>
          <w:szCs w:val="30"/>
          <w:highlight w:val="none"/>
        </w:rPr>
        <w:t>金效益。</w:t>
      </w:r>
    </w:p>
    <w:p>
      <w:pPr>
        <w:spacing w:line="579" w:lineRule="exact"/>
        <w:ind w:firstLine="630" w:firstLineChars="200"/>
        <w:rPr>
          <w:rFonts w:hAnsi="仿宋"/>
          <w:szCs w:val="30"/>
          <w:highlight w:val="none"/>
        </w:rPr>
      </w:pPr>
      <w:r>
        <w:rPr>
          <w:rFonts w:hint="eastAsia" w:hAnsi="仿宋"/>
          <w:szCs w:val="30"/>
          <w:highlight w:val="none"/>
        </w:rPr>
        <w:t>（2）项目及资金安排流程</w:t>
      </w:r>
    </w:p>
    <w:p>
      <w:pPr>
        <w:spacing w:line="579" w:lineRule="exact"/>
        <w:ind w:firstLine="630" w:firstLineChars="200"/>
        <w:rPr>
          <w:rFonts w:hint="eastAsia" w:hAnsi="仿宋"/>
          <w:szCs w:val="30"/>
        </w:rPr>
      </w:pPr>
      <w:r>
        <w:rPr>
          <w:rFonts w:hint="eastAsia" w:hAnsi="仿宋"/>
          <w:szCs w:val="30"/>
        </w:rPr>
        <w:t>根据《玉溪市建档立卡贫困户和“直过民族”户危房改造及“直过民族”整村推进项目实施方案》（以下简称“实施方案”）及市委市政府相关文件和会议纪要相关要求，通过农业发展银行玉溪市分行发放扶贫过桥贷款的方式，筹集过渡性资金，由玉溪市农林投资开发有限公司下拨至各县（区），确保项目顺利实施。</w:t>
      </w:r>
      <w:bookmarkEnd w:id="54"/>
      <w:bookmarkEnd w:id="55"/>
      <w:bookmarkEnd w:id="56"/>
      <w:bookmarkStart w:id="78" w:name="_Toc22531_WPSOffice_Level1"/>
      <w:bookmarkStart w:id="79" w:name="_Toc13127661"/>
    </w:p>
    <w:p>
      <w:pPr>
        <w:spacing w:line="579" w:lineRule="exact"/>
        <w:ind w:firstLine="630" w:firstLineChars="200"/>
        <w:outlineLvl w:val="0"/>
        <w:rPr>
          <w:rFonts w:ascii="黑体" w:hAnsi="宋体" w:eastAsia="黑体" w:cs="宋体"/>
          <w:szCs w:val="30"/>
        </w:rPr>
      </w:pPr>
      <w:r>
        <w:rPr>
          <w:rFonts w:hint="eastAsia" w:ascii="黑体" w:hAnsi="宋体" w:eastAsia="黑体" w:cs="宋体"/>
          <w:szCs w:val="30"/>
        </w:rPr>
        <w:t>三、绩效再评价组织情况</w:t>
      </w:r>
      <w:bookmarkEnd w:id="78"/>
      <w:bookmarkEnd w:id="79"/>
    </w:p>
    <w:p>
      <w:pPr>
        <w:spacing w:line="579" w:lineRule="exact"/>
        <w:ind w:firstLine="630" w:firstLineChars="200"/>
        <w:outlineLvl w:val="1"/>
        <w:rPr>
          <w:rFonts w:ascii="楷体" w:hAnsi="楷体" w:eastAsia="楷体"/>
          <w:szCs w:val="30"/>
        </w:rPr>
      </w:pPr>
      <w:bookmarkStart w:id="80" w:name="_Toc13127662"/>
      <w:bookmarkStart w:id="81" w:name="_Toc1967_WPSOffice_Level2"/>
      <w:r>
        <w:rPr>
          <w:rFonts w:hint="eastAsia" w:ascii="楷体" w:hAnsi="楷体" w:eastAsia="楷体"/>
          <w:szCs w:val="30"/>
        </w:rPr>
        <w:t>（一）绩效再评价依据</w:t>
      </w:r>
      <w:bookmarkEnd w:id="80"/>
      <w:bookmarkEnd w:id="81"/>
    </w:p>
    <w:p>
      <w:pPr>
        <w:spacing w:line="579" w:lineRule="exact"/>
        <w:ind w:firstLine="630" w:firstLineChars="200"/>
        <w:rPr>
          <w:rFonts w:hAnsi="仿宋"/>
          <w:szCs w:val="30"/>
        </w:rPr>
      </w:pPr>
      <w:bookmarkStart w:id="82" w:name="_Toc13127663"/>
      <w:r>
        <w:rPr>
          <w:rFonts w:hint="eastAsia" w:hAnsi="仿宋"/>
          <w:szCs w:val="30"/>
        </w:rPr>
        <w:t>1.《中华人民共和国预算法》（2014年修订）；</w:t>
      </w:r>
    </w:p>
    <w:p>
      <w:pPr>
        <w:spacing w:line="579" w:lineRule="exact"/>
        <w:ind w:firstLine="630" w:firstLineChars="200"/>
        <w:rPr>
          <w:rFonts w:hAnsi="仿宋"/>
          <w:szCs w:val="30"/>
        </w:rPr>
      </w:pPr>
      <w:r>
        <w:rPr>
          <w:rFonts w:hint="eastAsia" w:hAnsi="仿宋"/>
          <w:szCs w:val="30"/>
        </w:rPr>
        <w:t>2.《玉溪市财政局关于开展2019年预算支出绩效再评价工作的通知》（玉财投〔2019〕9号）；</w:t>
      </w:r>
    </w:p>
    <w:p>
      <w:pPr>
        <w:spacing w:line="579" w:lineRule="exact"/>
        <w:ind w:firstLine="630" w:firstLineChars="200"/>
        <w:rPr>
          <w:rFonts w:hAnsi="仿宋"/>
          <w:szCs w:val="30"/>
        </w:rPr>
      </w:pPr>
      <w:r>
        <w:rPr>
          <w:rFonts w:hint="eastAsia" w:hAnsi="仿宋"/>
          <w:szCs w:val="30"/>
        </w:rPr>
        <w:t>3.《玉溪市市级财政预算绩效管理暂行办法》（玉财债〔2016〕16号）；</w:t>
      </w:r>
    </w:p>
    <w:p>
      <w:pPr>
        <w:spacing w:line="579" w:lineRule="exact"/>
        <w:ind w:firstLine="630" w:firstLineChars="200"/>
        <w:rPr>
          <w:rFonts w:hAnsi="仿宋"/>
          <w:szCs w:val="30"/>
        </w:rPr>
      </w:pPr>
      <w:r>
        <w:rPr>
          <w:rFonts w:hint="eastAsia" w:hAnsi="仿宋"/>
          <w:szCs w:val="30"/>
        </w:rPr>
        <w:t>4.《玉溪市市级财政支出预算绩效评价操作规程（试行）》（玉财投〔2018〕1号）；</w:t>
      </w:r>
    </w:p>
    <w:p>
      <w:pPr>
        <w:spacing w:line="579" w:lineRule="exact"/>
        <w:ind w:firstLine="630" w:firstLineChars="200"/>
        <w:rPr>
          <w:rFonts w:hAnsi="仿宋"/>
          <w:szCs w:val="30"/>
        </w:rPr>
      </w:pPr>
      <w:r>
        <w:rPr>
          <w:rFonts w:hint="eastAsia" w:hAnsi="仿宋"/>
          <w:szCs w:val="30"/>
        </w:rPr>
        <w:t>5.《玉溪市市级专项资金管理暂行办法》（玉财债〔2017〕13号）；</w:t>
      </w:r>
    </w:p>
    <w:p>
      <w:pPr>
        <w:spacing w:line="579" w:lineRule="exact"/>
        <w:ind w:firstLine="630" w:firstLineChars="200"/>
        <w:rPr>
          <w:rFonts w:hAnsi="仿宋"/>
          <w:szCs w:val="30"/>
        </w:rPr>
      </w:pPr>
      <w:r>
        <w:rPr>
          <w:rFonts w:hint="eastAsia" w:hAnsi="仿宋"/>
          <w:szCs w:val="30"/>
        </w:rPr>
        <w:t>6.《玉溪市市对下专项转移支付资金绩效管理暂行办法》（玉财债〔2017〕21号）；</w:t>
      </w:r>
    </w:p>
    <w:p>
      <w:pPr>
        <w:spacing w:line="579" w:lineRule="exact"/>
        <w:ind w:firstLine="630" w:firstLineChars="200"/>
        <w:rPr>
          <w:rFonts w:hAnsi="仿宋"/>
          <w:szCs w:val="30"/>
        </w:rPr>
      </w:pPr>
      <w:r>
        <w:rPr>
          <w:rFonts w:hint="eastAsia" w:hAnsi="仿宋"/>
          <w:szCs w:val="30"/>
        </w:rPr>
        <w:t>7.《玉溪市财政局关于市本级开展2018年预算资金绩效自评的通知》（玉财投〔2019〕8号）；</w:t>
      </w:r>
    </w:p>
    <w:p>
      <w:pPr>
        <w:spacing w:line="579" w:lineRule="exact"/>
        <w:ind w:firstLine="630" w:firstLineChars="200"/>
        <w:rPr>
          <w:rFonts w:hAnsi="仿宋"/>
          <w:szCs w:val="30"/>
        </w:rPr>
      </w:pPr>
      <w:r>
        <w:rPr>
          <w:rFonts w:hint="eastAsia" w:hAnsi="仿宋"/>
          <w:szCs w:val="30"/>
        </w:rPr>
        <w:t>8.《深入扎实推进扶贫攻坚的实施意见》（玉发〔2015〕23号）；</w:t>
      </w:r>
    </w:p>
    <w:p>
      <w:pPr>
        <w:spacing w:line="579" w:lineRule="exact"/>
        <w:ind w:firstLine="630" w:firstLineChars="200"/>
        <w:rPr>
          <w:rFonts w:hAnsi="仿宋"/>
          <w:szCs w:val="30"/>
        </w:rPr>
      </w:pPr>
      <w:r>
        <w:rPr>
          <w:rFonts w:hint="eastAsia" w:hAnsi="仿宋"/>
          <w:szCs w:val="30"/>
        </w:rPr>
        <w:t>9.《玉溪市建档立卡贫困户和“直过民族”户危房改造及“直过民族”整村推进项目实施方案》（玉政复〔2017）94号）；</w:t>
      </w:r>
    </w:p>
    <w:p>
      <w:pPr>
        <w:spacing w:line="579" w:lineRule="exact"/>
        <w:ind w:firstLine="630" w:firstLineChars="200"/>
        <w:rPr>
          <w:rFonts w:hAnsi="仿宋"/>
          <w:szCs w:val="30"/>
        </w:rPr>
      </w:pPr>
      <w:r>
        <w:rPr>
          <w:rFonts w:hint="eastAsia" w:hAnsi="仿宋"/>
          <w:szCs w:val="30"/>
        </w:rPr>
        <w:t>10.《玉溪市人民政府扶贫开发办公室 玉溪市住房和城乡建设局关于下达建档立卡贫困户和“直过民族”户危房改造及“直过民族”整村推进项目资金的通知》（玉扶发〔2017〕36号）；</w:t>
      </w:r>
    </w:p>
    <w:p>
      <w:pPr>
        <w:spacing w:line="579" w:lineRule="exact"/>
        <w:ind w:firstLine="630" w:firstLineChars="200"/>
        <w:rPr>
          <w:rFonts w:hAnsi="仿宋"/>
          <w:szCs w:val="30"/>
        </w:rPr>
      </w:pPr>
      <w:r>
        <w:rPr>
          <w:rFonts w:hint="eastAsia" w:hAnsi="仿宋"/>
          <w:szCs w:val="30"/>
        </w:rPr>
        <w:t>11.《玉溪市财 政局关于拨付扶贫过桥项目贷款利息的通知》（玉财农〔2018〕29 号）；</w:t>
      </w:r>
    </w:p>
    <w:p>
      <w:pPr>
        <w:spacing w:line="579" w:lineRule="exact"/>
        <w:ind w:firstLine="630" w:firstLineChars="200"/>
        <w:rPr>
          <w:rFonts w:hAnsi="仿宋"/>
          <w:szCs w:val="30"/>
        </w:rPr>
      </w:pPr>
      <w:r>
        <w:rPr>
          <w:rFonts w:hint="eastAsia" w:hAnsi="仿宋"/>
          <w:szCs w:val="30"/>
        </w:rPr>
        <w:t>12.《玉溪市财政局关于拨付扶贫过桥项目贷款本金和利息的通知》（玉财农〔2018〕33 号）；</w:t>
      </w:r>
    </w:p>
    <w:p>
      <w:pPr>
        <w:spacing w:line="579" w:lineRule="exact"/>
        <w:ind w:firstLine="630" w:firstLineChars="200"/>
        <w:rPr>
          <w:rFonts w:hAnsi="仿宋"/>
          <w:szCs w:val="30"/>
        </w:rPr>
      </w:pPr>
      <w:r>
        <w:rPr>
          <w:rFonts w:hint="eastAsia" w:hAnsi="仿宋"/>
          <w:szCs w:val="30"/>
        </w:rPr>
        <w:t>13.《玉溪市建档立卡贫困户和“直过民族”易地扶贫搬迁及危房改造项目融资贷款资金管理办法》（玉扶组发〔2017）9号）</w:t>
      </w:r>
    </w:p>
    <w:p>
      <w:pPr>
        <w:spacing w:line="579" w:lineRule="exact"/>
        <w:ind w:firstLine="630" w:firstLineChars="200"/>
        <w:rPr>
          <w:rFonts w:hAnsi="仿宋"/>
          <w:szCs w:val="30"/>
        </w:rPr>
      </w:pPr>
      <w:r>
        <w:rPr>
          <w:rFonts w:hint="eastAsia" w:hAnsi="仿宋"/>
          <w:szCs w:val="30"/>
        </w:rPr>
        <w:t>14.《玉溪市财政专项扶贫资金管理实施细则》（玉财农〔2017〕181号）；</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15.其它相关依据文件。</w:t>
      </w:r>
    </w:p>
    <w:p>
      <w:pPr>
        <w:spacing w:line="579" w:lineRule="exact"/>
        <w:ind w:firstLine="630" w:firstLineChars="200"/>
        <w:outlineLvl w:val="1"/>
        <w:rPr>
          <w:rFonts w:ascii="楷体" w:hAnsi="楷体" w:eastAsia="楷体"/>
          <w:szCs w:val="30"/>
        </w:rPr>
      </w:pPr>
      <w:bookmarkStart w:id="83" w:name="_Toc1568_WPSOffice_Level2"/>
      <w:r>
        <w:rPr>
          <w:rFonts w:hint="eastAsia" w:ascii="楷体" w:hAnsi="楷体" w:eastAsia="楷体"/>
          <w:szCs w:val="30"/>
        </w:rPr>
        <w:t>（二）绩效再评价方法</w:t>
      </w:r>
      <w:bookmarkEnd w:id="82"/>
      <w:bookmarkEnd w:id="83"/>
    </w:p>
    <w:p>
      <w:pPr>
        <w:adjustRightInd w:val="0"/>
        <w:snapToGrid w:val="0"/>
        <w:spacing w:line="579" w:lineRule="exact"/>
        <w:ind w:firstLine="624"/>
        <w:rPr>
          <w:rFonts w:hAnsi="仿宋" w:cs="仿宋"/>
          <w:spacing w:val="6"/>
          <w:kern w:val="2"/>
          <w:szCs w:val="30"/>
        </w:rPr>
      </w:pPr>
      <w:bookmarkStart w:id="84" w:name="_Toc13127664"/>
      <w:r>
        <w:rPr>
          <w:rFonts w:hint="eastAsia" w:hAnsi="仿宋" w:cs="仿宋"/>
          <w:spacing w:val="6"/>
          <w:kern w:val="2"/>
          <w:szCs w:val="30"/>
        </w:rPr>
        <w:t>结合该项目特点，主要采用的绩效再评价方法有：资料查阅、政策解读、效益比较分析、实地调研等。具体做法如下：</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资料查阅：首先通过全面查阅被评价单位提交的项目相关资料，主要包括项目预算安排、项目管理制度文件、项目资金使用相关凭证、项目实施完成相关统计数据，工作总结、贯彻执行的有关政策文件，项目实施档案资料等。</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政策解读：由于该项目属于扶贫项目，评价小组对扶贫相关政策进行深入解读学习，了解大政策、大背景基础下更好地开展绩效再评价工作。</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效益对比：该项目实施主要目的在于改善农村人居环境，再评价过程中，主要通过对项目实施前后效果进行对比，以体现项目实施产生的效益。</w:t>
      </w:r>
    </w:p>
    <w:p>
      <w:pPr>
        <w:adjustRightInd w:val="0"/>
        <w:snapToGrid w:val="0"/>
        <w:spacing w:line="579" w:lineRule="exact"/>
        <w:ind w:firstLine="624"/>
        <w:jc w:val="both"/>
        <w:rPr>
          <w:rFonts w:hAnsi="仿宋" w:cs="仿宋"/>
          <w:spacing w:val="6"/>
          <w:kern w:val="2"/>
          <w:szCs w:val="30"/>
        </w:rPr>
      </w:pPr>
      <w:r>
        <w:rPr>
          <w:rFonts w:hint="eastAsia" w:hAnsi="仿宋" w:cs="仿宋"/>
          <w:spacing w:val="6"/>
          <w:kern w:val="2"/>
          <w:szCs w:val="30"/>
        </w:rPr>
        <w:t>实地调研：以座谈会、问卷调查等方式开展实地评价。对照项目实施主要内容，现场查看检查项目完成情况和工程质量情况；走访村民，了解项目实施村</w:t>
      </w:r>
      <w:r>
        <w:rPr>
          <w:rFonts w:hint="eastAsia" w:hAnsi="仿宋" w:cs="仿宋"/>
          <w:spacing w:val="6"/>
          <w:kern w:val="2"/>
          <w:szCs w:val="30"/>
          <w:lang w:val="en-US" w:eastAsia="zh-CN"/>
        </w:rPr>
        <w:t>的</w:t>
      </w:r>
      <w:r>
        <w:rPr>
          <w:rFonts w:hint="eastAsia" w:hAnsi="仿宋" w:cs="仿宋"/>
          <w:spacing w:val="6"/>
          <w:kern w:val="2"/>
          <w:szCs w:val="30"/>
        </w:rPr>
        <w:t>村民对该扶贫项目的反映、意见和要求，了解村民房屋改造情况、生活条件改善情况。</w:t>
      </w:r>
    </w:p>
    <w:p>
      <w:pPr>
        <w:spacing w:line="579" w:lineRule="exact"/>
        <w:ind w:firstLine="630" w:firstLineChars="200"/>
        <w:outlineLvl w:val="1"/>
        <w:rPr>
          <w:rFonts w:ascii="楷体" w:hAnsi="楷体" w:eastAsia="楷体"/>
          <w:szCs w:val="30"/>
        </w:rPr>
      </w:pPr>
      <w:bookmarkStart w:id="85" w:name="_Toc12459_WPSOffice_Level2"/>
      <w:r>
        <w:rPr>
          <w:rFonts w:hint="eastAsia" w:ascii="楷体" w:hAnsi="楷体" w:eastAsia="楷体"/>
          <w:szCs w:val="30"/>
        </w:rPr>
        <w:t>（三）绩效再评价指标体系</w:t>
      </w:r>
      <w:bookmarkEnd w:id="84"/>
      <w:bookmarkEnd w:id="85"/>
    </w:p>
    <w:p>
      <w:pPr>
        <w:spacing w:line="579" w:lineRule="exact"/>
        <w:ind w:firstLine="630" w:firstLineChars="200"/>
        <w:rPr>
          <w:rFonts w:hAnsi="仿宋"/>
          <w:color w:val="000000" w:themeColor="text1"/>
          <w:kern w:val="2"/>
          <w:szCs w:val="30"/>
          <w14:textFill>
            <w14:solidFill>
              <w14:schemeClr w14:val="tx1"/>
            </w14:solidFill>
          </w14:textFill>
        </w:rPr>
      </w:pPr>
      <w:bookmarkStart w:id="86" w:name="_Toc25923_WPSOffice_Level2"/>
      <w:bookmarkStart w:id="87" w:name="_Toc9436713"/>
      <w:bookmarkStart w:id="88" w:name="_Toc13127665"/>
      <w:r>
        <w:rPr>
          <w:rFonts w:hint="eastAsia" w:hAnsi="仿宋"/>
          <w:color w:val="000000" w:themeColor="text1"/>
          <w:kern w:val="2"/>
          <w:szCs w:val="30"/>
          <w14:textFill>
            <w14:solidFill>
              <w14:schemeClr w14:val="tx1"/>
            </w14:solidFill>
          </w14:textFill>
        </w:rPr>
        <w:t>绩效再评价指标体系是本次再评价工作的核心，为建立科学合理的指标体系，紧紧围绕工作目标，根据《玉溪市市级财政支出预算绩效评价操作规程（试行）》（玉财投〔</w:t>
      </w:r>
      <w:r>
        <w:rPr>
          <w:rFonts w:hAnsi="仿宋"/>
          <w:color w:val="000000" w:themeColor="text1"/>
          <w:kern w:val="2"/>
          <w:szCs w:val="30"/>
          <w14:textFill>
            <w14:solidFill>
              <w14:schemeClr w14:val="tx1"/>
            </w14:solidFill>
          </w14:textFill>
        </w:rPr>
        <w:t>201</w:t>
      </w:r>
      <w:r>
        <w:rPr>
          <w:rFonts w:hint="eastAsia" w:hAnsi="仿宋"/>
          <w:color w:val="000000" w:themeColor="text1"/>
          <w:kern w:val="2"/>
          <w:szCs w:val="30"/>
          <w14:textFill>
            <w14:solidFill>
              <w14:schemeClr w14:val="tx1"/>
            </w14:solidFill>
          </w14:textFill>
        </w:rPr>
        <w:t>8</w:t>
      </w:r>
      <w:r>
        <w:rPr>
          <w:rFonts w:hAnsi="仿宋"/>
          <w:color w:val="000000" w:themeColor="text1"/>
          <w:kern w:val="2"/>
          <w:szCs w:val="30"/>
          <w14:textFill>
            <w14:solidFill>
              <w14:schemeClr w14:val="tx1"/>
            </w14:solidFill>
          </w14:textFill>
        </w:rPr>
        <w:t>〕</w:t>
      </w:r>
      <w:r>
        <w:rPr>
          <w:rFonts w:hint="eastAsia" w:hAnsi="仿宋"/>
          <w:color w:val="000000" w:themeColor="text1"/>
          <w:kern w:val="2"/>
          <w:szCs w:val="30"/>
          <w14:textFill>
            <w14:solidFill>
              <w14:schemeClr w14:val="tx1"/>
            </w14:solidFill>
          </w14:textFill>
        </w:rPr>
        <w:t>1</w:t>
      </w:r>
      <w:r>
        <w:rPr>
          <w:rFonts w:hAnsi="仿宋"/>
          <w:color w:val="000000" w:themeColor="text1"/>
          <w:kern w:val="2"/>
          <w:szCs w:val="30"/>
          <w14:textFill>
            <w14:solidFill>
              <w14:schemeClr w14:val="tx1"/>
            </w14:solidFill>
          </w14:textFill>
        </w:rPr>
        <w:t>号），参考</w:t>
      </w:r>
      <w:r>
        <w:rPr>
          <w:rFonts w:hint="eastAsia" w:hAnsi="仿宋"/>
          <w:color w:val="000000" w:themeColor="text1"/>
          <w:kern w:val="2"/>
          <w:szCs w:val="30"/>
          <w14:textFill>
            <w14:solidFill>
              <w14:schemeClr w14:val="tx1"/>
            </w14:solidFill>
          </w14:textFill>
        </w:rPr>
        <w:t>项目</w:t>
      </w:r>
      <w:r>
        <w:rPr>
          <w:rFonts w:hAnsi="仿宋"/>
          <w:color w:val="000000" w:themeColor="text1"/>
          <w:kern w:val="2"/>
          <w:szCs w:val="30"/>
          <w14:textFill>
            <w14:solidFill>
              <w14:schemeClr w14:val="tx1"/>
            </w14:solidFill>
          </w14:textFill>
        </w:rPr>
        <w:t>绩效自评指标体系，结合专项资金特点制定绩效再评价指标体系。</w:t>
      </w:r>
    </w:p>
    <w:p>
      <w:pPr>
        <w:spacing w:line="579" w:lineRule="exact"/>
        <w:ind w:firstLine="630" w:firstLineChars="200"/>
        <w:outlineLvl w:val="1"/>
        <w:rPr>
          <w:rFonts w:hAnsi="仿宋"/>
          <w:color w:val="000000" w:themeColor="text1"/>
          <w:szCs w:val="30"/>
          <w14:textFill>
            <w14:solidFill>
              <w14:schemeClr w14:val="tx1"/>
            </w14:solidFill>
          </w14:textFill>
        </w:rPr>
      </w:pPr>
      <w:bookmarkStart w:id="89" w:name="_Toc3640_WPSOffice_Level2"/>
      <w:bookmarkStart w:id="90" w:name="_Toc9436709"/>
      <w:r>
        <w:rPr>
          <w:rFonts w:hint="eastAsia" w:hAnsi="仿宋"/>
          <w:color w:val="000000" w:themeColor="text1"/>
          <w:szCs w:val="30"/>
          <w14:textFill>
            <w14:solidFill>
              <w14:schemeClr w14:val="tx1"/>
            </w14:solidFill>
          </w14:textFill>
        </w:rPr>
        <w:t>1.绩效再评价指标</w:t>
      </w:r>
      <w:bookmarkEnd w:id="89"/>
      <w:bookmarkEnd w:id="90"/>
      <w:bookmarkStart w:id="91" w:name="_Toc9436710"/>
      <w:r>
        <w:rPr>
          <w:rFonts w:hint="eastAsia" w:hAnsi="仿宋"/>
          <w:color w:val="000000" w:themeColor="text1"/>
          <w:szCs w:val="30"/>
          <w14:textFill>
            <w14:solidFill>
              <w14:schemeClr w14:val="tx1"/>
            </w14:solidFill>
          </w14:textFill>
        </w:rPr>
        <w:t>。绩效再评价指标体系共有三级指标，一级指标4个（投入、过程、产出和效果），二级指标11个，三级指标29个。详见附件1。</w:t>
      </w:r>
    </w:p>
    <w:p>
      <w:pPr>
        <w:spacing w:line="579" w:lineRule="exact"/>
        <w:ind w:firstLine="630" w:firstLineChars="200"/>
        <w:rPr>
          <w:rFonts w:hAnsi="仿宋"/>
          <w:color w:val="000000" w:themeColor="text1"/>
          <w:szCs w:val="30"/>
          <w14:textFill>
            <w14:solidFill>
              <w14:schemeClr w14:val="tx1"/>
            </w14:solidFill>
          </w14:textFill>
        </w:rPr>
      </w:pPr>
      <w:bookmarkStart w:id="92" w:name="_Toc31664_WPSOffice_Level2"/>
      <w:r>
        <w:rPr>
          <w:rFonts w:hint="eastAsia" w:hAnsi="仿宋"/>
          <w:color w:val="000000" w:themeColor="text1"/>
          <w:szCs w:val="30"/>
          <w14:textFill>
            <w14:solidFill>
              <w14:schemeClr w14:val="tx1"/>
            </w14:solidFill>
          </w14:textFill>
        </w:rPr>
        <w:t>2.绩效再评价指标分值权重</w:t>
      </w:r>
      <w:bookmarkEnd w:id="91"/>
      <w:bookmarkEnd w:id="92"/>
    </w:p>
    <w:p>
      <w:pPr>
        <w:spacing w:line="579" w:lineRule="exact"/>
        <w:ind w:firstLine="630" w:firstLineChars="200"/>
        <w:rPr>
          <w:rFonts w:hAnsi="仿宋"/>
          <w:color w:val="000000" w:themeColor="text1"/>
          <w:szCs w:val="30"/>
          <w14:textFill>
            <w14:solidFill>
              <w14:schemeClr w14:val="tx1"/>
            </w14:solidFill>
          </w14:textFill>
        </w:rPr>
      </w:pPr>
      <w:bookmarkStart w:id="93" w:name="_Toc9436711"/>
      <w:r>
        <w:rPr>
          <w:rFonts w:hint="eastAsia" w:hAnsi="仿宋"/>
          <w:color w:val="000000" w:themeColor="text1"/>
          <w:szCs w:val="30"/>
          <w14:textFill>
            <w14:solidFill>
              <w14:schemeClr w14:val="tx1"/>
            </w14:solidFill>
          </w14:textFill>
        </w:rPr>
        <w:t>结合项目的实施背景与绩效目标，通过与相关专业人员开展讨论，征求项目实施主管部门意见，综合判断各级评价指标对实现绩效目标的关键程度为基础，确定各评价指标的分值权重。投入指标权重为</w:t>
      </w:r>
      <w:r>
        <w:rPr>
          <w:rFonts w:hAnsi="仿宋"/>
          <w:color w:val="000000" w:themeColor="text1"/>
          <w:szCs w:val="30"/>
          <w14:textFill>
            <w14:solidFill>
              <w14:schemeClr w14:val="tx1"/>
            </w14:solidFill>
          </w14:textFill>
        </w:rPr>
        <w:t>15%；过程指标权重为</w:t>
      </w:r>
      <w:r>
        <w:rPr>
          <w:rFonts w:hint="eastAsia" w:hAnsi="仿宋"/>
          <w:color w:val="000000" w:themeColor="text1"/>
          <w:szCs w:val="30"/>
          <w14:textFill>
            <w14:solidFill>
              <w14:schemeClr w14:val="tx1"/>
            </w14:solidFill>
          </w14:textFill>
        </w:rPr>
        <w:t>25</w:t>
      </w:r>
      <w:r>
        <w:rPr>
          <w:rFonts w:hAnsi="仿宋"/>
          <w:color w:val="000000" w:themeColor="text1"/>
          <w:szCs w:val="30"/>
          <w14:textFill>
            <w14:solidFill>
              <w14:schemeClr w14:val="tx1"/>
            </w14:solidFill>
          </w14:textFill>
        </w:rPr>
        <w:t>%；产出指标权重为3</w:t>
      </w:r>
      <w:r>
        <w:rPr>
          <w:rFonts w:hint="eastAsia" w:hAnsi="仿宋"/>
          <w:color w:val="000000" w:themeColor="text1"/>
          <w:szCs w:val="30"/>
          <w14:textFill>
            <w14:solidFill>
              <w14:schemeClr w14:val="tx1"/>
            </w14:solidFill>
          </w14:textFill>
        </w:rPr>
        <w:t>0</w:t>
      </w:r>
      <w:r>
        <w:rPr>
          <w:rFonts w:hAnsi="仿宋"/>
          <w:color w:val="000000" w:themeColor="text1"/>
          <w:szCs w:val="30"/>
          <w14:textFill>
            <w14:solidFill>
              <w14:schemeClr w14:val="tx1"/>
            </w14:solidFill>
          </w14:textFill>
        </w:rPr>
        <w:t>%；效果指标权重为30%。详见附件</w:t>
      </w:r>
      <w:r>
        <w:rPr>
          <w:rFonts w:hint="eastAsia" w:hAnsi="仿宋"/>
          <w:color w:val="000000" w:themeColor="text1"/>
          <w:szCs w:val="30"/>
          <w14:textFill>
            <w14:solidFill>
              <w14:schemeClr w14:val="tx1"/>
            </w14:solidFill>
          </w14:textFill>
        </w:rPr>
        <w:t>1。</w:t>
      </w:r>
    </w:p>
    <w:p>
      <w:pPr>
        <w:spacing w:line="579" w:lineRule="exact"/>
        <w:ind w:firstLine="630" w:firstLineChars="200"/>
        <w:rPr>
          <w:rFonts w:hAnsi="仿宋"/>
          <w:color w:val="000000" w:themeColor="text1"/>
          <w:szCs w:val="30"/>
          <w14:textFill>
            <w14:solidFill>
              <w14:schemeClr w14:val="tx1"/>
            </w14:solidFill>
          </w14:textFill>
        </w:rPr>
      </w:pPr>
      <w:bookmarkStart w:id="94" w:name="_Toc1613_WPSOffice_Level2"/>
      <w:r>
        <w:rPr>
          <w:rFonts w:hint="eastAsia" w:hAnsi="仿宋"/>
          <w:color w:val="000000" w:themeColor="text1"/>
          <w:szCs w:val="30"/>
          <w14:textFill>
            <w14:solidFill>
              <w14:schemeClr w14:val="tx1"/>
            </w14:solidFill>
          </w14:textFill>
        </w:rPr>
        <w:t>3.指标解释</w:t>
      </w:r>
      <w:bookmarkEnd w:id="93"/>
      <w:bookmarkEnd w:id="94"/>
    </w:p>
    <w:p>
      <w:pPr>
        <w:spacing w:line="579" w:lineRule="exact"/>
        <w:ind w:firstLine="630" w:firstLineChars="200"/>
        <w:rPr>
          <w:rFonts w:hAnsi="仿宋"/>
          <w:color w:val="000000" w:themeColor="text1"/>
          <w:szCs w:val="30"/>
          <w14:textFill>
            <w14:solidFill>
              <w14:schemeClr w14:val="tx1"/>
            </w14:solidFill>
          </w14:textFill>
        </w:rPr>
      </w:pPr>
      <w:bookmarkStart w:id="95" w:name="_Toc9436712"/>
      <w:r>
        <w:rPr>
          <w:rFonts w:hint="eastAsia" w:hAnsi="仿宋"/>
          <w:color w:val="000000" w:themeColor="text1"/>
          <w:szCs w:val="30"/>
          <w14:textFill>
            <w14:solidFill>
              <w14:schemeClr w14:val="tx1"/>
            </w14:solidFill>
          </w14:textFill>
        </w:rPr>
        <w:t>绩效再评价指标体系以项目管理流程所包含的“投入—过程—产出—效果”环节为依据，将绩效再评价指标划分为投入、过程、产出、效果四个方面，作为一级指标，对专项资金进行全面绩效再评价。</w:t>
      </w:r>
    </w:p>
    <w:p>
      <w:pPr>
        <w:spacing w:line="579" w:lineRule="exact"/>
        <w:ind w:firstLine="624"/>
        <w:rPr>
          <w:rFonts w:hAnsi="仿宋"/>
          <w:color w:val="000000" w:themeColor="text1"/>
          <w:szCs w:val="30"/>
          <w14:textFill>
            <w14:solidFill>
              <w14:schemeClr w14:val="tx1"/>
            </w14:solidFill>
          </w14:textFill>
        </w:rPr>
      </w:pPr>
      <w:r>
        <w:rPr>
          <w:rFonts w:hAnsi="仿宋"/>
          <w:color w:val="000000" w:themeColor="text1"/>
          <w:szCs w:val="30"/>
          <w14:textFill>
            <w14:solidFill>
              <w14:schemeClr w14:val="tx1"/>
            </w14:solidFill>
          </w14:textFill>
        </w:rPr>
        <w:t>在二级指标层面确定了各环节绩效评价的关键因素后，根据二级指标内容和相关标准进一步将其分解为</w:t>
      </w:r>
      <w:r>
        <w:rPr>
          <w:rFonts w:hint="eastAsia" w:hAnsi="仿宋"/>
          <w:color w:val="000000" w:themeColor="text1"/>
          <w:szCs w:val="30"/>
          <w14:textFill>
            <w14:solidFill>
              <w14:schemeClr w14:val="tx1"/>
            </w14:solidFill>
          </w14:textFill>
        </w:rPr>
        <w:t>29项具体可操作的三级指标，作为绩效评价指标体系的最基层指标。三级指标更为细化和具体，以项目实施的各环节为设置三级绩效指标的依据，明确对绩效再评价考核的具体内容进行了说明，详情见附件1。</w:t>
      </w:r>
    </w:p>
    <w:p>
      <w:pPr>
        <w:spacing w:line="579" w:lineRule="exact"/>
        <w:ind w:firstLine="624"/>
        <w:rPr>
          <w:rFonts w:hAnsi="仿宋"/>
          <w:color w:val="000000" w:themeColor="text1"/>
          <w:szCs w:val="30"/>
          <w14:textFill>
            <w14:solidFill>
              <w14:schemeClr w14:val="tx1"/>
            </w14:solidFill>
          </w14:textFill>
        </w:rPr>
      </w:pPr>
      <w:bookmarkStart w:id="96" w:name="_Toc8727_WPSOffice_Level2"/>
      <w:r>
        <w:rPr>
          <w:rFonts w:hint="eastAsia" w:hAnsi="仿宋"/>
          <w:color w:val="000000" w:themeColor="text1"/>
          <w:szCs w:val="30"/>
          <w14:textFill>
            <w14:solidFill>
              <w14:schemeClr w14:val="tx1"/>
            </w14:solidFill>
          </w14:textFill>
        </w:rPr>
        <w:t>4.再评价标准</w:t>
      </w:r>
      <w:bookmarkEnd w:id="95"/>
      <w:bookmarkEnd w:id="96"/>
    </w:p>
    <w:p>
      <w:pPr>
        <w:spacing w:line="579" w:lineRule="exact"/>
        <w:ind w:firstLine="624"/>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本次评价采用百分制，各级指标依据其指标权重确定分值，评价人员根据评价情况对各级指标进行打分，最终得分由各级评价指标得分加总得到。根据最终得分情况将评价标准分为四个等级：≥90分为“优”；90分＞得分≥75分为“良”；75分＞得分≥60分为“中”；得分＜60分为“差”。</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数据来源</w:t>
      </w:r>
      <w:bookmarkEnd w:id="86"/>
      <w:bookmarkEnd w:id="87"/>
      <w:r>
        <w:rPr>
          <w:rFonts w:hint="eastAsia" w:ascii="楷体" w:hAnsi="楷体" w:eastAsia="楷体"/>
          <w:szCs w:val="30"/>
        </w:rPr>
        <w:t>。</w:t>
      </w:r>
      <w:r>
        <w:rPr>
          <w:rFonts w:hint="eastAsia" w:hAnsi="仿宋"/>
          <w:color w:val="000000" w:themeColor="text1"/>
          <w:szCs w:val="30"/>
          <w14:textFill>
            <w14:solidFill>
              <w14:schemeClr w14:val="tx1"/>
            </w14:solidFill>
          </w14:textFill>
        </w:rPr>
        <w:t>定量指标数据主要来源于专项检查、现场踏勘、扶贫信息统计等。其中，涉及全市定量数据由我公司根据再评价指标体系，设计数据收集表，市扶贫办负责按照数据收集统计汇总全市数据，并对数据的真实性负责；抽样数据由我公司负责现场收集，数据提供单位对数据真实性负责。</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定性指标评价数据主要通过座谈访谈、问卷调查等方式获得。其中涉及全市整体情况的定性数据，由</w:t>
      </w:r>
      <w:r>
        <w:rPr>
          <w:rFonts w:hint="eastAsia" w:hAnsi="仿宋"/>
          <w:color w:val="000000" w:themeColor="text1"/>
          <w:szCs w:val="30"/>
          <w:lang w:val="en-US" w:eastAsia="zh-CN"/>
          <w14:textFill>
            <w14:solidFill>
              <w14:schemeClr w14:val="tx1"/>
            </w14:solidFill>
          </w14:textFill>
        </w:rPr>
        <w:t>市</w:t>
      </w:r>
      <w:r>
        <w:rPr>
          <w:rFonts w:hint="eastAsia" w:hAnsi="仿宋"/>
          <w:color w:val="000000" w:themeColor="text1"/>
          <w:szCs w:val="30"/>
          <w14:textFill>
            <w14:solidFill>
              <w14:schemeClr w14:val="tx1"/>
            </w14:solidFill>
          </w14:textFill>
        </w:rPr>
        <w:t>扶贫办负责提供相关监督检查报告、总结等资料予以支撑；抽样数据由中介机构负责通过访谈、问卷调查等方式收集。</w:t>
      </w:r>
    </w:p>
    <w:p>
      <w:pPr>
        <w:spacing w:line="579" w:lineRule="exact"/>
        <w:ind w:firstLine="630" w:firstLineChars="200"/>
        <w:outlineLvl w:val="1"/>
        <w:rPr>
          <w:rFonts w:ascii="楷体" w:hAnsi="楷体" w:eastAsia="楷体"/>
          <w:szCs w:val="30"/>
        </w:rPr>
      </w:pPr>
      <w:bookmarkStart w:id="97" w:name="_Toc31583_WPSOffice_Level2"/>
      <w:r>
        <w:rPr>
          <w:rFonts w:hint="eastAsia" w:ascii="楷体" w:hAnsi="楷体" w:eastAsia="楷体"/>
          <w:szCs w:val="30"/>
        </w:rPr>
        <w:t>（四）绩效再评价抽样</w:t>
      </w:r>
      <w:bookmarkEnd w:id="88"/>
      <w:bookmarkEnd w:id="97"/>
    </w:p>
    <w:p>
      <w:pPr>
        <w:spacing w:line="579" w:lineRule="exact"/>
        <w:ind w:firstLine="630" w:firstLineChars="200"/>
        <w:rPr>
          <w:rFonts w:hAnsi="仿宋"/>
          <w:color w:val="000000" w:themeColor="text1"/>
          <w:kern w:val="2"/>
          <w:szCs w:val="30"/>
          <w14:textFill>
            <w14:solidFill>
              <w14:schemeClr w14:val="tx1"/>
            </w14:solidFill>
          </w14:textFill>
        </w:rPr>
      </w:pPr>
      <w:bookmarkStart w:id="98" w:name="_Toc13127669"/>
      <w:r>
        <w:rPr>
          <w:rFonts w:hint="eastAsia" w:hAnsi="仿宋"/>
          <w:color w:val="000000" w:themeColor="text1"/>
          <w:kern w:val="2"/>
          <w:szCs w:val="30"/>
          <w14:textFill>
            <w14:solidFill>
              <w14:schemeClr w14:val="tx1"/>
            </w14:solidFill>
          </w14:textFill>
        </w:rPr>
        <w:t>本次绩效评价从市扶贫办、县（区）扶贫办、乡镇项目实施单位实现管理层级全覆盖。根据各县（区）建档立卡贫困户和</w:t>
      </w:r>
      <w:r>
        <w:rPr>
          <w:rFonts w:hint="eastAsia" w:hAnsi="仿宋"/>
          <w:color w:val="000000" w:themeColor="text1"/>
          <w:kern w:val="2"/>
          <w:szCs w:val="30"/>
          <w:lang w:eastAsia="zh-CN"/>
          <w14:textFill>
            <w14:solidFill>
              <w14:schemeClr w14:val="tx1"/>
            </w14:solidFill>
          </w14:textFill>
        </w:rPr>
        <w:t>“</w:t>
      </w:r>
      <w:r>
        <w:rPr>
          <w:rFonts w:hint="eastAsia" w:hAnsi="仿宋"/>
          <w:color w:val="000000" w:themeColor="text1"/>
          <w:kern w:val="2"/>
          <w:szCs w:val="30"/>
          <w14:textFill>
            <w14:solidFill>
              <w14:schemeClr w14:val="tx1"/>
            </w14:solidFill>
          </w14:textFill>
        </w:rPr>
        <w:t>直过民族</w:t>
      </w:r>
      <w:r>
        <w:rPr>
          <w:rFonts w:hint="eastAsia" w:hAnsi="仿宋"/>
          <w:color w:val="000000" w:themeColor="text1"/>
          <w:kern w:val="2"/>
          <w:szCs w:val="30"/>
          <w:lang w:eastAsia="zh-CN"/>
          <w14:textFill>
            <w14:solidFill>
              <w14:schemeClr w14:val="tx1"/>
            </w14:solidFill>
          </w14:textFill>
        </w:rPr>
        <w:t>”</w:t>
      </w:r>
      <w:r>
        <w:rPr>
          <w:rFonts w:hint="eastAsia" w:hAnsi="仿宋"/>
          <w:color w:val="000000" w:themeColor="text1"/>
          <w:kern w:val="2"/>
          <w:szCs w:val="30"/>
          <w14:textFill>
            <w14:solidFill>
              <w14:schemeClr w14:val="tx1"/>
            </w14:solidFill>
          </w14:textFill>
        </w:rPr>
        <w:t>户危房改造以及</w:t>
      </w:r>
      <w:r>
        <w:rPr>
          <w:rFonts w:hint="eastAsia" w:hAnsi="仿宋"/>
          <w:color w:val="000000" w:themeColor="text1"/>
          <w:kern w:val="2"/>
          <w:szCs w:val="30"/>
          <w:lang w:eastAsia="zh-CN"/>
          <w14:textFill>
            <w14:solidFill>
              <w14:schemeClr w14:val="tx1"/>
            </w14:solidFill>
          </w14:textFill>
        </w:rPr>
        <w:t>“</w:t>
      </w:r>
      <w:r>
        <w:rPr>
          <w:rFonts w:hint="eastAsia" w:hAnsi="仿宋"/>
          <w:color w:val="000000" w:themeColor="text1"/>
          <w:kern w:val="2"/>
          <w:szCs w:val="30"/>
          <w14:textFill>
            <w14:solidFill>
              <w14:schemeClr w14:val="tx1"/>
            </w14:solidFill>
          </w14:textFill>
        </w:rPr>
        <w:t>直过民族</w:t>
      </w:r>
      <w:r>
        <w:rPr>
          <w:rFonts w:hint="eastAsia" w:hAnsi="仿宋"/>
          <w:color w:val="000000" w:themeColor="text1"/>
          <w:kern w:val="2"/>
          <w:szCs w:val="30"/>
          <w:lang w:eastAsia="zh-CN"/>
          <w14:textFill>
            <w14:solidFill>
              <w14:schemeClr w14:val="tx1"/>
            </w14:solidFill>
          </w14:textFill>
        </w:rPr>
        <w:t>”</w:t>
      </w:r>
      <w:r>
        <w:rPr>
          <w:rFonts w:hint="eastAsia" w:hAnsi="仿宋"/>
          <w:color w:val="000000" w:themeColor="text1"/>
          <w:kern w:val="2"/>
          <w:szCs w:val="30"/>
          <w14:textFill>
            <w14:solidFill>
              <w14:schemeClr w14:val="tx1"/>
            </w14:solidFill>
          </w14:textFill>
        </w:rPr>
        <w:t>聚居村</w:t>
      </w:r>
      <w:r>
        <w:rPr>
          <w:rFonts w:hint="eastAsia" w:hAnsi="仿宋"/>
          <w:color w:val="000000" w:themeColor="text1"/>
          <w:kern w:val="2"/>
          <w:szCs w:val="30"/>
          <w:lang w:val="en-US" w:eastAsia="zh-CN"/>
          <w14:textFill>
            <w14:solidFill>
              <w14:schemeClr w14:val="tx1"/>
            </w14:solidFill>
          </w14:textFill>
        </w:rPr>
        <w:t>整村</w:t>
      </w:r>
      <w:r>
        <w:rPr>
          <w:rFonts w:hint="eastAsia" w:hAnsi="仿宋"/>
          <w:color w:val="000000" w:themeColor="text1"/>
          <w:kern w:val="2"/>
          <w:szCs w:val="30"/>
          <w14:textFill>
            <w14:solidFill>
              <w14:schemeClr w14:val="tx1"/>
            </w14:solidFill>
          </w14:textFill>
        </w:rPr>
        <w:t>推进的资金安排、项目建设等综合情况，从涉及本项目的9个县（区）中抽取9个县（区）作为实地抽样评价点，项目抽样点占总项目数100%，且每个县（区）实地调查户数不低于20户。</w:t>
      </w:r>
    </w:p>
    <w:p>
      <w:pPr>
        <w:spacing w:line="579" w:lineRule="exact"/>
        <w:ind w:firstLine="630" w:firstLineChars="200"/>
        <w:outlineLvl w:val="0"/>
        <w:rPr>
          <w:rFonts w:ascii="黑体" w:hAnsi="宋体" w:eastAsia="黑体" w:cs="宋体"/>
          <w:szCs w:val="30"/>
        </w:rPr>
      </w:pPr>
      <w:bookmarkStart w:id="99" w:name="_Toc24604_WPSOffice_Level1"/>
      <w:r>
        <w:rPr>
          <w:rFonts w:hint="eastAsia" w:ascii="黑体" w:hAnsi="宋体" w:eastAsia="黑体" w:cs="宋体"/>
          <w:szCs w:val="30"/>
        </w:rPr>
        <w:t>四、绩效再评价结论</w:t>
      </w:r>
      <w:bookmarkEnd w:id="98"/>
      <w:bookmarkEnd w:id="99"/>
    </w:p>
    <w:p>
      <w:pPr>
        <w:spacing w:line="579" w:lineRule="exact"/>
        <w:ind w:firstLine="630" w:firstLineChars="200"/>
        <w:outlineLvl w:val="1"/>
        <w:rPr>
          <w:rFonts w:ascii="楷体" w:hAnsi="楷体" w:eastAsia="楷体"/>
          <w:szCs w:val="30"/>
        </w:rPr>
      </w:pPr>
      <w:bookmarkStart w:id="100" w:name="_Toc13127670"/>
      <w:bookmarkStart w:id="101" w:name="_Toc18548_WPSOffice_Level2"/>
      <w:r>
        <w:rPr>
          <w:rFonts w:hint="eastAsia" w:ascii="楷体" w:hAnsi="楷体" w:eastAsia="楷体"/>
          <w:szCs w:val="30"/>
        </w:rPr>
        <w:t>（一）绩效再评价综合结论</w:t>
      </w:r>
      <w:bookmarkEnd w:id="100"/>
      <w:bookmarkEnd w:id="101"/>
    </w:p>
    <w:p>
      <w:pPr>
        <w:spacing w:line="579" w:lineRule="exact"/>
        <w:ind w:firstLine="630" w:firstLineChars="200"/>
        <w:rPr>
          <w:rFonts w:hAnsi="仿宋"/>
          <w:color w:val="000000" w:themeColor="text1"/>
          <w:szCs w:val="30"/>
          <w14:textFill>
            <w14:solidFill>
              <w14:schemeClr w14:val="tx1"/>
            </w14:solidFill>
          </w14:textFill>
        </w:rPr>
      </w:pPr>
      <w:bookmarkStart w:id="102" w:name="_Hlk525314439"/>
      <w:r>
        <w:rPr>
          <w:rFonts w:hint="eastAsia" w:hAnsi="仿宋"/>
          <w:color w:val="000000" w:themeColor="text1"/>
          <w:szCs w:val="30"/>
          <w14:textFill>
            <w14:solidFill>
              <w14:schemeClr w14:val="tx1"/>
            </w14:solidFill>
          </w14:textFill>
        </w:rPr>
        <w:t>建档立卡贫困户和“直过民族”户危房改造及“直过民族”整村推进项目绩效再评价得分</w:t>
      </w:r>
      <w:r>
        <w:rPr>
          <w:rFonts w:hint="eastAsia" w:hAnsi="仿宋"/>
          <w:color w:val="000000" w:themeColor="text1"/>
          <w:szCs w:val="30"/>
          <w:lang w:val="en-US" w:eastAsia="zh-CN"/>
          <w14:textFill>
            <w14:solidFill>
              <w14:schemeClr w14:val="tx1"/>
            </w14:solidFill>
          </w14:textFill>
        </w:rPr>
        <w:t>58.85</w:t>
      </w:r>
      <w:r>
        <w:rPr>
          <w:rFonts w:hint="eastAsia" w:hAnsi="仿宋"/>
          <w:color w:val="000000" w:themeColor="text1"/>
          <w:szCs w:val="30"/>
          <w14:textFill>
            <w14:solidFill>
              <w14:schemeClr w14:val="tx1"/>
            </w14:solidFill>
          </w14:textFill>
        </w:rPr>
        <w:t>分，评价等级为“差”。一级指标具体得分情况详见下表：</w:t>
      </w:r>
    </w:p>
    <w:p>
      <w:pPr>
        <w:jc w:val="center"/>
        <w:rPr>
          <w:rFonts w:ascii="黑体" w:hAnsi="黑体" w:eastAsia="黑体" w:cs="宋体"/>
          <w:bCs/>
          <w:sz w:val="24"/>
          <w:szCs w:val="24"/>
          <w:highlight w:val="none"/>
        </w:rPr>
      </w:pPr>
      <w:r>
        <w:rPr>
          <w:rFonts w:hint="eastAsia" w:ascii="黑体" w:hAnsi="黑体" w:eastAsia="黑体" w:cs="宋体"/>
          <w:bCs/>
          <w:sz w:val="24"/>
          <w:szCs w:val="24"/>
          <w:highlight w:val="none"/>
        </w:rPr>
        <w:t>表3：绩效再评价得分情况表</w:t>
      </w:r>
    </w:p>
    <w:tbl>
      <w:tblPr>
        <w:tblStyle w:val="17"/>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212"/>
        <w:gridCol w:w="2211"/>
        <w:gridCol w:w="2211"/>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blHeader/>
          <w:jc w:val="center"/>
        </w:trPr>
        <w:tc>
          <w:tcPr>
            <w:tcW w:w="2212"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一级指标</w:t>
            </w:r>
          </w:p>
        </w:tc>
        <w:tc>
          <w:tcPr>
            <w:tcW w:w="2211"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指标分值</w:t>
            </w:r>
          </w:p>
        </w:tc>
        <w:tc>
          <w:tcPr>
            <w:tcW w:w="2211"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评价得分</w:t>
            </w:r>
          </w:p>
        </w:tc>
        <w:tc>
          <w:tcPr>
            <w:tcW w:w="2211" w:type="dxa"/>
            <w:tcBorders>
              <w:top w:val="single" w:color="auto" w:sz="4" w:space="0"/>
            </w:tcBorders>
            <w:vAlign w:val="center"/>
          </w:tcPr>
          <w:p>
            <w:pPr>
              <w:snapToGrid w:val="0"/>
              <w:spacing w:line="240" w:lineRule="exact"/>
              <w:jc w:val="center"/>
              <w:rPr>
                <w:rFonts w:hAnsi="仿宋" w:cs="宋体"/>
                <w:b/>
                <w:bCs/>
                <w:spacing w:val="6"/>
                <w:sz w:val="21"/>
              </w:rPr>
            </w:pPr>
            <w:r>
              <w:rPr>
                <w:rFonts w:hint="eastAsia" w:hAnsi="仿宋" w:cs="宋体"/>
                <w:b/>
                <w:bCs/>
                <w:spacing w:val="6"/>
                <w:sz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投入</w:t>
            </w:r>
          </w:p>
        </w:tc>
        <w:tc>
          <w:tcPr>
            <w:tcW w:w="2211" w:type="dxa"/>
            <w:vAlign w:val="center"/>
          </w:tcPr>
          <w:p>
            <w:pPr>
              <w:snapToGrid w:val="0"/>
              <w:spacing w:line="240" w:lineRule="exact"/>
              <w:jc w:val="center"/>
              <w:rPr>
                <w:rFonts w:hAnsi="仿宋" w:cs="宋体"/>
                <w:bCs/>
                <w:spacing w:val="6"/>
                <w:sz w:val="21"/>
              </w:rPr>
            </w:pPr>
            <w:r>
              <w:rPr>
                <w:rFonts w:hAnsi="仿宋" w:cs="宋体"/>
                <w:bCs/>
                <w:spacing w:val="6"/>
                <w:sz w:val="21"/>
              </w:rPr>
              <w:t>15</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sz w:val="21"/>
                <w:lang w:val="en-US" w:eastAsia="zh-CN"/>
              </w:rPr>
              <w:t>8.92</w:t>
            </w:r>
          </w:p>
        </w:tc>
        <w:tc>
          <w:tcPr>
            <w:tcW w:w="2211" w:type="dxa"/>
            <w:vAlign w:val="center"/>
          </w:tcPr>
          <w:p>
            <w:pPr>
              <w:snapToGrid w:val="0"/>
              <w:spacing w:line="240" w:lineRule="exact"/>
              <w:jc w:val="center"/>
              <w:rPr>
                <w:rFonts w:hAnsi="仿宋" w:cs="宋体"/>
                <w:bCs/>
                <w:spacing w:val="6"/>
                <w:sz w:val="21"/>
              </w:rPr>
            </w:pPr>
            <w:r>
              <w:rPr>
                <w:rFonts w:hint="eastAsia" w:hAnsi="仿宋"/>
                <w:sz w:val="21"/>
                <w:lang w:val="en-US" w:eastAsia="zh-CN"/>
              </w:rPr>
              <w:t>59.46</w:t>
            </w:r>
            <w:r>
              <w:rPr>
                <w:rFonts w:hint="eastAsia" w:hAnsi="仿宋"/>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过程</w:t>
            </w:r>
          </w:p>
        </w:tc>
        <w:tc>
          <w:tcPr>
            <w:tcW w:w="2211" w:type="dxa"/>
            <w:vAlign w:val="center"/>
          </w:tcPr>
          <w:p>
            <w:pPr>
              <w:snapToGrid w:val="0"/>
              <w:spacing w:line="240" w:lineRule="exact"/>
              <w:jc w:val="center"/>
              <w:rPr>
                <w:rFonts w:hAnsi="仿宋" w:cs="宋体"/>
                <w:bCs/>
                <w:spacing w:val="6"/>
                <w:sz w:val="21"/>
              </w:rPr>
            </w:pPr>
            <w:r>
              <w:rPr>
                <w:rFonts w:hint="eastAsia" w:hAnsi="仿宋" w:cs="宋体"/>
                <w:bCs/>
                <w:spacing w:val="6"/>
                <w:sz w:val="21"/>
              </w:rPr>
              <w:t>25</w:t>
            </w:r>
          </w:p>
        </w:tc>
        <w:tc>
          <w:tcPr>
            <w:tcW w:w="2211" w:type="dxa"/>
            <w:vAlign w:val="center"/>
          </w:tcPr>
          <w:p>
            <w:pPr>
              <w:snapToGrid w:val="0"/>
              <w:spacing w:line="240" w:lineRule="exact"/>
              <w:jc w:val="center"/>
              <w:rPr>
                <w:rFonts w:hint="default" w:hAnsi="仿宋" w:eastAsia="仿宋" w:cs="宋体"/>
                <w:bCs/>
                <w:spacing w:val="6"/>
                <w:sz w:val="21"/>
                <w:lang w:val="en-US" w:eastAsia="zh-CN"/>
              </w:rPr>
            </w:pPr>
            <w:r>
              <w:rPr>
                <w:rFonts w:hint="eastAsia" w:hAnsi="仿宋"/>
                <w:sz w:val="21"/>
                <w:lang w:val="en-US" w:eastAsia="zh-CN"/>
              </w:rPr>
              <w:t>14.41</w:t>
            </w:r>
          </w:p>
        </w:tc>
        <w:tc>
          <w:tcPr>
            <w:tcW w:w="2211" w:type="dxa"/>
            <w:vAlign w:val="center"/>
          </w:tcPr>
          <w:p>
            <w:pPr>
              <w:snapToGrid w:val="0"/>
              <w:spacing w:line="240" w:lineRule="exact"/>
              <w:jc w:val="center"/>
              <w:rPr>
                <w:rFonts w:hAnsi="仿宋" w:cs="宋体"/>
                <w:bCs/>
                <w:spacing w:val="6"/>
                <w:sz w:val="21"/>
              </w:rPr>
            </w:pPr>
            <w:r>
              <w:rPr>
                <w:rFonts w:hint="eastAsia" w:hAnsi="仿宋"/>
                <w:sz w:val="21"/>
                <w:lang w:val="en-US" w:eastAsia="zh-CN"/>
              </w:rPr>
              <w:t>57</w:t>
            </w:r>
            <w:r>
              <w:rPr>
                <w:rFonts w:hint="eastAsia" w:hAnsi="仿宋"/>
                <w:sz w:val="21"/>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产出</w:t>
            </w:r>
          </w:p>
        </w:tc>
        <w:tc>
          <w:tcPr>
            <w:tcW w:w="2211" w:type="dxa"/>
            <w:vAlign w:val="center"/>
          </w:tcPr>
          <w:p>
            <w:pPr>
              <w:snapToGrid w:val="0"/>
              <w:spacing w:line="240" w:lineRule="exact"/>
              <w:jc w:val="center"/>
              <w:rPr>
                <w:rFonts w:hAnsi="仿宋" w:cs="宋体"/>
                <w:bCs/>
                <w:spacing w:val="6"/>
                <w:sz w:val="21"/>
              </w:rPr>
            </w:pPr>
            <w:r>
              <w:rPr>
                <w:rFonts w:hAnsi="仿宋" w:cs="宋体"/>
                <w:bCs/>
                <w:spacing w:val="6"/>
                <w:sz w:val="21"/>
              </w:rPr>
              <w:t>3</w:t>
            </w:r>
            <w:r>
              <w:rPr>
                <w:rFonts w:hint="eastAsia" w:hAnsi="仿宋" w:cs="宋体"/>
                <w:bCs/>
                <w:spacing w:val="6"/>
                <w:sz w:val="21"/>
              </w:rPr>
              <w:t>0</w:t>
            </w:r>
          </w:p>
        </w:tc>
        <w:tc>
          <w:tcPr>
            <w:tcW w:w="2211" w:type="dxa"/>
            <w:vAlign w:val="center"/>
          </w:tcPr>
          <w:p>
            <w:pPr>
              <w:snapToGrid w:val="0"/>
              <w:spacing w:line="240" w:lineRule="exact"/>
              <w:jc w:val="center"/>
              <w:rPr>
                <w:rFonts w:hAnsi="仿宋" w:cs="宋体"/>
                <w:bCs/>
                <w:spacing w:val="6"/>
                <w:sz w:val="21"/>
              </w:rPr>
            </w:pPr>
            <w:r>
              <w:rPr>
                <w:rFonts w:hint="eastAsia" w:hAnsi="仿宋"/>
                <w:sz w:val="21"/>
              </w:rPr>
              <w:t>15.17</w:t>
            </w:r>
          </w:p>
        </w:tc>
        <w:tc>
          <w:tcPr>
            <w:tcW w:w="2211" w:type="dxa"/>
            <w:vAlign w:val="center"/>
          </w:tcPr>
          <w:p>
            <w:pPr>
              <w:snapToGrid w:val="0"/>
              <w:spacing w:line="240" w:lineRule="exact"/>
              <w:jc w:val="center"/>
              <w:rPr>
                <w:rFonts w:hAnsi="仿宋" w:cs="宋体"/>
                <w:bCs/>
                <w:spacing w:val="6"/>
                <w:sz w:val="21"/>
              </w:rPr>
            </w:pPr>
            <w:r>
              <w:rPr>
                <w:rFonts w:hint="eastAsia" w:hAnsi="仿宋"/>
                <w:sz w:val="21"/>
              </w:rPr>
              <w:t>50.57%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Cs/>
                <w:spacing w:val="6"/>
                <w:sz w:val="21"/>
              </w:rPr>
            </w:pPr>
            <w:r>
              <w:rPr>
                <w:rFonts w:hAnsi="仿宋" w:cs="宋体"/>
                <w:bCs/>
                <w:spacing w:val="6"/>
                <w:sz w:val="21"/>
              </w:rPr>
              <w:t>效果</w:t>
            </w:r>
          </w:p>
        </w:tc>
        <w:tc>
          <w:tcPr>
            <w:tcW w:w="2211" w:type="dxa"/>
            <w:vAlign w:val="center"/>
          </w:tcPr>
          <w:p>
            <w:pPr>
              <w:snapToGrid w:val="0"/>
              <w:spacing w:line="240" w:lineRule="exact"/>
              <w:jc w:val="center"/>
              <w:rPr>
                <w:rFonts w:hAnsi="仿宋" w:cs="宋体"/>
                <w:bCs/>
                <w:spacing w:val="6"/>
                <w:sz w:val="21"/>
              </w:rPr>
            </w:pPr>
            <w:r>
              <w:rPr>
                <w:rFonts w:hint="eastAsia" w:hAnsi="仿宋" w:cs="宋体"/>
                <w:bCs/>
                <w:spacing w:val="6"/>
                <w:sz w:val="21"/>
              </w:rPr>
              <w:t>30</w:t>
            </w:r>
          </w:p>
        </w:tc>
        <w:tc>
          <w:tcPr>
            <w:tcW w:w="2211" w:type="dxa"/>
            <w:vAlign w:val="center"/>
          </w:tcPr>
          <w:p>
            <w:pPr>
              <w:snapToGrid w:val="0"/>
              <w:spacing w:line="240" w:lineRule="exact"/>
              <w:jc w:val="center"/>
              <w:rPr>
                <w:rFonts w:hAnsi="仿宋" w:cs="宋体"/>
                <w:bCs/>
                <w:spacing w:val="6"/>
                <w:sz w:val="21"/>
              </w:rPr>
            </w:pPr>
            <w:r>
              <w:rPr>
                <w:rFonts w:hint="eastAsia" w:hAnsi="仿宋"/>
                <w:sz w:val="21"/>
              </w:rPr>
              <w:t>20.35</w:t>
            </w:r>
          </w:p>
        </w:tc>
        <w:tc>
          <w:tcPr>
            <w:tcW w:w="2211" w:type="dxa"/>
            <w:vAlign w:val="center"/>
          </w:tcPr>
          <w:p>
            <w:pPr>
              <w:snapToGrid w:val="0"/>
              <w:spacing w:line="240" w:lineRule="exact"/>
              <w:jc w:val="center"/>
              <w:rPr>
                <w:rFonts w:hAnsi="仿宋" w:cs="宋体"/>
                <w:bCs/>
                <w:spacing w:val="6"/>
                <w:sz w:val="21"/>
              </w:rPr>
            </w:pPr>
            <w:r>
              <w:rPr>
                <w:rFonts w:hint="eastAsia" w:hAnsi="仿宋"/>
                <w:sz w:val="21"/>
              </w:rPr>
              <w:t>67.83%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spacing w:line="240" w:lineRule="exact"/>
              <w:jc w:val="center"/>
              <w:rPr>
                <w:rFonts w:hAnsi="仿宋" w:cs="宋体"/>
                <w:b/>
                <w:bCs/>
                <w:spacing w:val="6"/>
                <w:sz w:val="21"/>
              </w:rPr>
            </w:pPr>
            <w:r>
              <w:rPr>
                <w:rFonts w:hAnsi="仿宋" w:cs="宋体"/>
                <w:b/>
                <w:bCs/>
                <w:spacing w:val="6"/>
                <w:sz w:val="21"/>
              </w:rPr>
              <w:t>合</w:t>
            </w:r>
            <w:r>
              <w:rPr>
                <w:rFonts w:hint="eastAsia" w:hAnsi="仿宋" w:cs="宋体"/>
                <w:b/>
                <w:bCs/>
                <w:spacing w:val="6"/>
                <w:sz w:val="21"/>
              </w:rPr>
              <w:t xml:space="preserve"> </w:t>
            </w:r>
            <w:r>
              <w:rPr>
                <w:rFonts w:hAnsi="仿宋" w:cs="宋体"/>
                <w:b/>
                <w:bCs/>
                <w:spacing w:val="6"/>
                <w:sz w:val="21"/>
              </w:rPr>
              <w:t>计</w:t>
            </w:r>
          </w:p>
        </w:tc>
        <w:tc>
          <w:tcPr>
            <w:tcW w:w="2211" w:type="dxa"/>
            <w:vAlign w:val="center"/>
          </w:tcPr>
          <w:p>
            <w:pPr>
              <w:snapToGrid w:val="0"/>
              <w:spacing w:line="240" w:lineRule="exact"/>
              <w:jc w:val="center"/>
              <w:rPr>
                <w:rFonts w:hAnsi="仿宋" w:cs="宋体"/>
                <w:b/>
                <w:bCs/>
                <w:spacing w:val="6"/>
                <w:sz w:val="21"/>
              </w:rPr>
            </w:pPr>
            <w:r>
              <w:rPr>
                <w:rFonts w:hint="eastAsia" w:hAnsi="仿宋" w:cs="宋体"/>
                <w:b/>
                <w:bCs/>
                <w:spacing w:val="6"/>
                <w:sz w:val="21"/>
              </w:rPr>
              <w:t>1</w:t>
            </w:r>
            <w:r>
              <w:rPr>
                <w:rFonts w:hAnsi="仿宋" w:cs="宋体"/>
                <w:b/>
                <w:bCs/>
                <w:spacing w:val="6"/>
                <w:sz w:val="21"/>
              </w:rPr>
              <w:t>00</w:t>
            </w:r>
          </w:p>
        </w:tc>
        <w:tc>
          <w:tcPr>
            <w:tcW w:w="2211" w:type="dxa"/>
            <w:vAlign w:val="center"/>
          </w:tcPr>
          <w:p>
            <w:pPr>
              <w:snapToGrid w:val="0"/>
              <w:spacing w:line="240" w:lineRule="exact"/>
              <w:jc w:val="center"/>
              <w:rPr>
                <w:rFonts w:hAnsi="仿宋" w:cs="宋体"/>
                <w:b/>
                <w:bCs/>
                <w:spacing w:val="6"/>
                <w:sz w:val="21"/>
              </w:rPr>
            </w:pPr>
            <w:r>
              <w:rPr>
                <w:rFonts w:hint="eastAsia" w:hAnsi="仿宋"/>
                <w:b/>
                <w:bCs/>
                <w:sz w:val="21"/>
              </w:rPr>
              <w:t>5</w:t>
            </w:r>
            <w:r>
              <w:rPr>
                <w:rFonts w:hint="eastAsia" w:hAnsi="仿宋"/>
                <w:b/>
                <w:bCs/>
                <w:sz w:val="21"/>
                <w:lang w:val="en-US" w:eastAsia="zh-CN"/>
              </w:rPr>
              <w:t>8</w:t>
            </w:r>
            <w:r>
              <w:rPr>
                <w:rFonts w:hint="eastAsia" w:hAnsi="仿宋"/>
                <w:b/>
                <w:bCs/>
                <w:sz w:val="21"/>
              </w:rPr>
              <w:t>.85</w:t>
            </w:r>
          </w:p>
        </w:tc>
        <w:tc>
          <w:tcPr>
            <w:tcW w:w="2211" w:type="dxa"/>
            <w:vAlign w:val="center"/>
          </w:tcPr>
          <w:p>
            <w:pPr>
              <w:snapToGrid w:val="0"/>
              <w:spacing w:line="240" w:lineRule="exact"/>
              <w:jc w:val="center"/>
              <w:rPr>
                <w:rFonts w:hAnsi="仿宋" w:cs="宋体"/>
                <w:b/>
                <w:bCs/>
                <w:spacing w:val="6"/>
                <w:sz w:val="21"/>
              </w:rPr>
            </w:pPr>
            <w:r>
              <w:rPr>
                <w:rFonts w:hint="eastAsia" w:hAnsi="仿宋"/>
                <w:b/>
                <w:bCs/>
                <w:sz w:val="21"/>
              </w:rPr>
              <w:t>5</w:t>
            </w:r>
            <w:r>
              <w:rPr>
                <w:rFonts w:hint="eastAsia" w:hAnsi="仿宋"/>
                <w:b/>
                <w:bCs/>
                <w:sz w:val="21"/>
                <w:lang w:val="en-US" w:eastAsia="zh-CN"/>
              </w:rPr>
              <w:t>8</w:t>
            </w:r>
            <w:r>
              <w:rPr>
                <w:rFonts w:hint="eastAsia" w:hAnsi="仿宋"/>
                <w:b/>
                <w:bCs/>
                <w:sz w:val="21"/>
              </w:rPr>
              <w:t>.85%</w:t>
            </w:r>
          </w:p>
        </w:tc>
      </w:tr>
    </w:tbl>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szCs w:val="30"/>
        </w:rPr>
        <w:t>综合评价结论</w:t>
      </w:r>
      <w:r>
        <w:rPr>
          <w:rFonts w:hAnsi="仿宋"/>
          <w:szCs w:val="30"/>
        </w:rPr>
        <w:t>:</w:t>
      </w:r>
      <w:r>
        <w:rPr>
          <w:rFonts w:hint="eastAsia" w:hAnsi="仿宋"/>
          <w:color w:val="000000" w:themeColor="text1"/>
          <w:szCs w:val="30"/>
          <w14:textFill>
            <w14:solidFill>
              <w14:schemeClr w14:val="tx1"/>
            </w14:solidFill>
          </w14:textFill>
        </w:rPr>
        <w:t>本项目实际实施受益对象为3928户农户，53个自然村，项目的实施一定程度上改善了部分农户的居住环境</w:t>
      </w:r>
      <w:r>
        <w:rPr>
          <w:rFonts w:hint="eastAsia" w:hAnsi="仿宋"/>
          <w:szCs w:val="30"/>
        </w:rPr>
        <w:t>。</w:t>
      </w:r>
      <w:r>
        <w:rPr>
          <w:rFonts w:hint="eastAsia" w:hAnsi="仿宋"/>
          <w:color w:val="000000" w:themeColor="text1"/>
          <w:szCs w:val="30"/>
          <w14:textFill>
            <w14:solidFill>
              <w14:schemeClr w14:val="tx1"/>
            </w14:solidFill>
          </w14:textFill>
        </w:rPr>
        <w:t>但存在以下问题：项目前期工作不严谨，过程中存在不规范现象</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14:textFill>
            <w14:solidFill>
              <w14:schemeClr w14:val="tx1"/>
            </w14:solidFill>
          </w14:textFill>
        </w:rPr>
        <w:t>主管部门与各部门扶贫政策统筹协调工作不到位，导致项目资金结余较大，项目实施占用公共资源，且造成财政资金浪费；项目主管部门绩效管理意识不强，监督监管力度不够</w:t>
      </w:r>
      <w:bookmarkEnd w:id="102"/>
      <w:r>
        <w:rPr>
          <w:rFonts w:hint="eastAsia" w:hAnsi="仿宋"/>
          <w:color w:val="000000" w:themeColor="text1"/>
          <w:szCs w:val="30"/>
          <w14:textFill>
            <w14:solidFill>
              <w14:schemeClr w14:val="tx1"/>
            </w14:solidFill>
          </w14:textFill>
        </w:rPr>
        <w:t>。</w:t>
      </w:r>
    </w:p>
    <w:p>
      <w:pPr>
        <w:spacing w:line="579" w:lineRule="exact"/>
        <w:ind w:firstLine="630" w:firstLineChars="200"/>
        <w:outlineLvl w:val="1"/>
        <w:rPr>
          <w:rFonts w:ascii="楷体" w:hAnsi="楷体" w:eastAsia="楷体"/>
          <w:szCs w:val="30"/>
        </w:rPr>
      </w:pPr>
      <w:bookmarkStart w:id="103" w:name="_Toc29975_WPSOffice_Level2"/>
      <w:bookmarkStart w:id="104" w:name="_Toc13127671"/>
      <w:r>
        <w:rPr>
          <w:rFonts w:hint="eastAsia" w:ascii="楷体" w:hAnsi="楷体" w:eastAsia="楷体"/>
          <w:szCs w:val="30"/>
        </w:rPr>
        <w:t>（二）绩效目标实现情况</w:t>
      </w:r>
      <w:bookmarkEnd w:id="103"/>
      <w:bookmarkEnd w:id="104"/>
    </w:p>
    <w:p>
      <w:pPr>
        <w:spacing w:line="579" w:lineRule="exact"/>
        <w:ind w:firstLine="630" w:firstLineChars="200"/>
        <w:rPr>
          <w:rFonts w:hAnsi="仿宋"/>
          <w:color w:val="000000" w:themeColor="text1"/>
          <w:szCs w:val="30"/>
          <w14:textFill>
            <w14:solidFill>
              <w14:schemeClr w14:val="tx1"/>
            </w14:solidFill>
          </w14:textFill>
        </w:rPr>
      </w:pPr>
      <w:bookmarkStart w:id="105" w:name="_Hlk525314457"/>
      <w:r>
        <w:rPr>
          <w:rFonts w:hint="eastAsia" w:hAnsi="仿宋"/>
          <w:color w:val="000000" w:themeColor="text1"/>
          <w:szCs w:val="30"/>
          <w14:textFill>
            <w14:solidFill>
              <w14:schemeClr w14:val="tx1"/>
            </w14:solidFill>
          </w14:textFill>
        </w:rPr>
        <w:t>根据再评价情况，本项目绩效目标社会效益基本实现，但1</w:t>
      </w:r>
      <w:r>
        <w:rPr>
          <w:rFonts w:hint="eastAsia" w:hAnsi="仿宋"/>
          <w:color w:val="000000" w:themeColor="text1"/>
          <w:szCs w:val="30"/>
          <w:lang w:val="en-US" w:eastAsia="zh-CN"/>
          <w14:textFill>
            <w14:solidFill>
              <w14:schemeClr w14:val="tx1"/>
            </w14:solidFill>
          </w14:textFill>
        </w:rPr>
        <w:t>3</w:t>
      </w:r>
      <w:r>
        <w:rPr>
          <w:rFonts w:hint="eastAsia" w:hAnsi="仿宋"/>
          <w:color w:val="000000" w:themeColor="text1"/>
          <w:szCs w:val="30"/>
          <w14:textFill>
            <w14:solidFill>
              <w14:schemeClr w14:val="tx1"/>
            </w14:solidFill>
          </w14:textFill>
        </w:rPr>
        <w:t>项具体绩效指标中</w:t>
      </w:r>
      <w:r>
        <w:rPr>
          <w:rFonts w:hint="eastAsia" w:hAnsi="仿宋"/>
          <w:color w:val="000000" w:themeColor="text1"/>
          <w:szCs w:val="30"/>
          <w:lang w:val="en-US" w:eastAsia="zh-CN"/>
          <w14:textFill>
            <w14:solidFill>
              <w14:schemeClr w14:val="tx1"/>
            </w14:solidFill>
          </w14:textFill>
        </w:rPr>
        <w:t>仅</w:t>
      </w:r>
      <w:r>
        <w:rPr>
          <w:rFonts w:hint="eastAsia" w:hAnsi="仿宋"/>
          <w:color w:val="000000" w:themeColor="text1"/>
          <w:szCs w:val="30"/>
          <w14:textFill>
            <w14:solidFill>
              <w14:schemeClr w14:val="tx1"/>
            </w14:solidFill>
          </w14:textFill>
        </w:rPr>
        <w:t>有2项实现预期目标，1</w:t>
      </w:r>
      <w:r>
        <w:rPr>
          <w:rFonts w:hint="eastAsia" w:hAnsi="仿宋"/>
          <w:color w:val="000000" w:themeColor="text1"/>
          <w:szCs w:val="30"/>
          <w:lang w:val="en-US" w:eastAsia="zh-CN"/>
          <w14:textFill>
            <w14:solidFill>
              <w14:schemeClr w14:val="tx1"/>
            </w14:solidFill>
          </w14:textFill>
        </w:rPr>
        <w:t>1</w:t>
      </w:r>
      <w:r>
        <w:rPr>
          <w:rFonts w:hint="eastAsia" w:hAnsi="仿宋"/>
          <w:color w:val="000000" w:themeColor="text1"/>
          <w:szCs w:val="30"/>
          <w14:textFill>
            <w14:solidFill>
              <w14:schemeClr w14:val="tx1"/>
            </w14:solidFill>
          </w14:textFill>
        </w:rPr>
        <w:t>项指标未完全实现预期目标，实现率为</w:t>
      </w:r>
      <w:r>
        <w:rPr>
          <w:rFonts w:hint="eastAsia" w:hAnsi="仿宋"/>
          <w:color w:val="000000" w:themeColor="text1"/>
          <w:szCs w:val="30"/>
          <w:lang w:val="en-US" w:eastAsia="zh-CN"/>
          <w14:textFill>
            <w14:solidFill>
              <w14:schemeClr w14:val="tx1"/>
            </w14:solidFill>
          </w14:textFill>
        </w:rPr>
        <w:t>15.38</w:t>
      </w:r>
      <w:r>
        <w:rPr>
          <w:rFonts w:hint="eastAsia" w:hAnsi="仿宋"/>
          <w:color w:val="000000" w:themeColor="text1"/>
          <w:szCs w:val="30"/>
          <w14:textFill>
            <w14:solidFill>
              <w14:schemeClr w14:val="tx1"/>
            </w14:solidFill>
          </w14:textFill>
        </w:rPr>
        <w:t>%，未实现比例为</w:t>
      </w:r>
      <w:r>
        <w:rPr>
          <w:rFonts w:hint="eastAsia" w:hAnsi="仿宋"/>
          <w:color w:val="000000" w:themeColor="text1"/>
          <w:szCs w:val="30"/>
          <w:lang w:val="en-US" w:eastAsia="zh-CN"/>
          <w14:textFill>
            <w14:solidFill>
              <w14:schemeClr w14:val="tx1"/>
            </w14:solidFill>
          </w14:textFill>
        </w:rPr>
        <w:t>84.62</w:t>
      </w:r>
      <w:r>
        <w:rPr>
          <w:rFonts w:hint="eastAsia" w:hAnsi="仿宋"/>
          <w:color w:val="000000" w:themeColor="text1"/>
          <w:szCs w:val="30"/>
          <w14:textFill>
            <w14:solidFill>
              <w14:schemeClr w14:val="tx1"/>
            </w14:solidFill>
          </w14:textFill>
        </w:rPr>
        <w:t>%。具体完成情况详见表4。</w:t>
      </w:r>
    </w:p>
    <w:p>
      <w:pPr>
        <w:jc w:val="center"/>
        <w:rPr>
          <w:rFonts w:ascii="黑体" w:hAnsi="黑体" w:eastAsia="黑体" w:cs="宋体"/>
          <w:bCs/>
          <w:sz w:val="24"/>
          <w:szCs w:val="24"/>
        </w:rPr>
      </w:pPr>
      <w:r>
        <w:rPr>
          <w:rFonts w:hint="eastAsia" w:ascii="黑体" w:hAnsi="黑体" w:eastAsia="黑体" w:cs="宋体"/>
          <w:bCs/>
          <w:sz w:val="24"/>
          <w:szCs w:val="24"/>
        </w:rPr>
        <w:t>表4：年初绩效指标完成情况表</w:t>
      </w:r>
    </w:p>
    <w:tbl>
      <w:tblPr>
        <w:tblStyle w:val="17"/>
        <w:tblW w:w="9060" w:type="dxa"/>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0" w:type="dxa"/>
          <w:left w:w="108" w:type="dxa"/>
          <w:bottom w:w="0" w:type="dxa"/>
          <w:right w:w="108" w:type="dxa"/>
        </w:tblCellMar>
      </w:tblPr>
      <w:tblGrid>
        <w:gridCol w:w="697"/>
        <w:gridCol w:w="698"/>
        <w:gridCol w:w="1335"/>
        <w:gridCol w:w="2313"/>
        <w:gridCol w:w="880"/>
        <w:gridCol w:w="313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blHeader/>
        </w:trPr>
        <w:tc>
          <w:tcPr>
            <w:tcW w:w="2730" w:type="dxa"/>
            <w:gridSpan w:val="3"/>
            <w:tcBorders>
              <w:bottom w:val="single" w:color="auto" w:sz="4" w:space="0"/>
              <w:right w:val="single" w:color="auto" w:sz="4" w:space="0"/>
            </w:tcBorders>
            <w:shd w:val="clear" w:color="auto" w:fill="auto"/>
            <w:vAlign w:val="center"/>
          </w:tcPr>
          <w:p>
            <w:pPr>
              <w:snapToGrid w:val="0"/>
              <w:spacing w:line="240" w:lineRule="exact"/>
              <w:jc w:val="center"/>
              <w:rPr>
                <w:rFonts w:hAnsi="仿宋" w:cs="宋体"/>
                <w:b/>
                <w:bCs/>
                <w:spacing w:val="6"/>
                <w:sz w:val="18"/>
                <w:szCs w:val="18"/>
              </w:rPr>
            </w:pPr>
            <w:bookmarkStart w:id="106" w:name="RANGE!A1:F22"/>
            <w:r>
              <w:rPr>
                <w:rFonts w:hint="eastAsia" w:hAnsi="仿宋" w:cs="宋体"/>
                <w:b/>
                <w:bCs/>
                <w:spacing w:val="6"/>
                <w:sz w:val="18"/>
                <w:szCs w:val="18"/>
              </w:rPr>
              <w:t>绩效指标名称</w:t>
            </w:r>
            <w:bookmarkEnd w:id="106"/>
          </w:p>
        </w:tc>
        <w:tc>
          <w:tcPr>
            <w:tcW w:w="2313" w:type="dxa"/>
            <w:vMerge w:val="restart"/>
            <w:tcBorders>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b/>
                <w:bCs/>
                <w:spacing w:val="6"/>
                <w:sz w:val="18"/>
                <w:szCs w:val="18"/>
              </w:rPr>
            </w:pPr>
            <w:r>
              <w:rPr>
                <w:rFonts w:hint="eastAsia" w:hAnsi="仿宋" w:cs="宋体"/>
                <w:b/>
                <w:bCs/>
                <w:spacing w:val="6"/>
                <w:sz w:val="18"/>
                <w:szCs w:val="18"/>
              </w:rPr>
              <w:t>指标值</w:t>
            </w:r>
          </w:p>
        </w:tc>
        <w:tc>
          <w:tcPr>
            <w:tcW w:w="880" w:type="dxa"/>
            <w:vMerge w:val="restart"/>
            <w:tcBorders>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b/>
                <w:bCs/>
                <w:spacing w:val="6"/>
                <w:sz w:val="18"/>
                <w:szCs w:val="18"/>
              </w:rPr>
            </w:pPr>
            <w:r>
              <w:rPr>
                <w:rFonts w:hint="eastAsia" w:hAnsi="仿宋" w:cs="宋体"/>
                <w:b/>
                <w:bCs/>
                <w:spacing w:val="6"/>
                <w:sz w:val="18"/>
                <w:szCs w:val="18"/>
              </w:rPr>
              <w:t>指标实现情况</w:t>
            </w:r>
          </w:p>
        </w:tc>
        <w:tc>
          <w:tcPr>
            <w:tcW w:w="3137" w:type="dxa"/>
            <w:vMerge w:val="restart"/>
            <w:tcBorders>
              <w:left w:val="single" w:color="auto" w:sz="4" w:space="0"/>
              <w:bottom w:val="single" w:color="auto" w:sz="4" w:space="0"/>
            </w:tcBorders>
            <w:shd w:val="clear" w:color="auto" w:fill="auto"/>
            <w:vAlign w:val="center"/>
          </w:tcPr>
          <w:p>
            <w:pPr>
              <w:snapToGrid w:val="0"/>
              <w:spacing w:line="240" w:lineRule="exact"/>
              <w:jc w:val="center"/>
              <w:rPr>
                <w:rFonts w:hAnsi="仿宋" w:cs="宋体"/>
                <w:b/>
                <w:bCs/>
                <w:spacing w:val="6"/>
                <w:sz w:val="18"/>
                <w:szCs w:val="18"/>
              </w:rPr>
            </w:pPr>
            <w:r>
              <w:rPr>
                <w:rFonts w:hint="eastAsia" w:hAnsi="仿宋" w:cs="宋体"/>
                <w:b/>
                <w:bCs/>
                <w:spacing w:val="6"/>
                <w:sz w:val="18"/>
                <w:szCs w:val="18"/>
              </w:rPr>
              <w:t>完成情况说明</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blHeader/>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r>
              <w:rPr>
                <w:rFonts w:hint="eastAsia" w:hAnsi="仿宋" w:cs="宋体"/>
                <w:b/>
                <w:bCs/>
                <w:spacing w:val="6"/>
                <w:sz w:val="18"/>
                <w:szCs w:val="18"/>
              </w:rPr>
              <w:t>一级指标</w:t>
            </w:r>
          </w:p>
        </w:tc>
        <w:tc>
          <w:tcPr>
            <w:tcW w:w="698"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r>
              <w:rPr>
                <w:rFonts w:hint="eastAsia" w:hAnsi="仿宋" w:cs="宋体"/>
                <w:b/>
                <w:bCs/>
                <w:spacing w:val="6"/>
                <w:sz w:val="18"/>
                <w:szCs w:val="18"/>
              </w:rPr>
              <w:t>二级指标</w:t>
            </w:r>
          </w:p>
        </w:tc>
        <w:tc>
          <w:tcPr>
            <w:tcW w:w="1335" w:type="dxa"/>
            <w:tcBorders>
              <w:top w:val="single" w:color="auto" w:sz="4" w:space="0"/>
              <w:left w:val="nil"/>
              <w:bottom w:val="single" w:color="auto" w:sz="4" w:space="0"/>
              <w:right w:val="single" w:color="auto" w:sz="4" w:space="0"/>
            </w:tcBorders>
            <w:shd w:val="clear" w:color="auto" w:fill="auto"/>
            <w:vAlign w:val="center"/>
          </w:tcPr>
          <w:p>
            <w:pPr>
              <w:snapToGrid w:val="0"/>
              <w:spacing w:line="240" w:lineRule="exact"/>
              <w:jc w:val="left"/>
              <w:rPr>
                <w:rFonts w:hAnsi="仿宋" w:cs="宋体"/>
                <w:b/>
                <w:bCs/>
                <w:spacing w:val="6"/>
                <w:sz w:val="18"/>
                <w:szCs w:val="18"/>
              </w:rPr>
            </w:pPr>
            <w:r>
              <w:rPr>
                <w:rFonts w:hint="eastAsia" w:hAnsi="仿宋" w:cs="宋体"/>
                <w:b/>
                <w:bCs/>
                <w:spacing w:val="6"/>
                <w:sz w:val="18"/>
                <w:szCs w:val="18"/>
              </w:rPr>
              <w:t>三级指标</w:t>
            </w:r>
          </w:p>
        </w:tc>
        <w:tc>
          <w:tcPr>
            <w:tcW w:w="2313"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p>
        </w:tc>
        <w:tc>
          <w:tcPr>
            <w:tcW w:w="880" w:type="dxa"/>
            <w:vMerge w:val="continue"/>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p>
        </w:tc>
        <w:tc>
          <w:tcPr>
            <w:tcW w:w="3137" w:type="dxa"/>
            <w:vMerge w:val="continue"/>
            <w:tcBorders>
              <w:top w:val="single" w:color="auto" w:sz="4" w:space="0"/>
              <w:left w:val="single" w:color="auto" w:sz="4" w:space="0"/>
              <w:bottom w:val="single" w:color="auto" w:sz="4" w:space="0"/>
            </w:tcBorders>
            <w:vAlign w:val="center"/>
          </w:tcPr>
          <w:p>
            <w:pPr>
              <w:snapToGrid w:val="0"/>
              <w:spacing w:line="240" w:lineRule="exact"/>
              <w:jc w:val="left"/>
              <w:rPr>
                <w:rFonts w:hAnsi="仿宋" w:cs="宋体"/>
                <w:spacing w:val="6"/>
                <w:sz w:val="18"/>
                <w:szCs w:val="18"/>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数量指标</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资金使用率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Ansi="仿宋" w:cs="宋体"/>
                <w:spacing w:val="6"/>
                <w:sz w:val="18"/>
                <w:szCs w:val="18"/>
              </w:rPr>
              <w:t>资金使用</w:t>
            </w:r>
            <w:r>
              <w:rPr>
                <w:rFonts w:hint="eastAsia" w:hAnsi="仿宋" w:cs="宋体"/>
                <w:spacing w:val="6"/>
                <w:sz w:val="18"/>
                <w:szCs w:val="18"/>
                <w:lang w:val="en-US" w:eastAsia="zh-CN"/>
              </w:rPr>
              <w:t>23359.19</w:t>
            </w:r>
            <w:r>
              <w:rPr>
                <w:rFonts w:hAnsi="仿宋" w:cs="宋体"/>
                <w:spacing w:val="6"/>
                <w:sz w:val="18"/>
                <w:szCs w:val="18"/>
              </w:rPr>
              <w:t>万元，资金使用率</w:t>
            </w:r>
            <w:r>
              <w:rPr>
                <w:rFonts w:hint="eastAsia" w:hAnsi="仿宋" w:cs="宋体"/>
                <w:spacing w:val="6"/>
                <w:sz w:val="18"/>
                <w:szCs w:val="18"/>
                <w:lang w:val="en-US" w:eastAsia="zh-CN"/>
              </w:rPr>
              <w:t>75.91</w:t>
            </w:r>
            <w:r>
              <w:rPr>
                <w:rFonts w:hAnsi="仿宋" w:cs="宋体"/>
                <w:spacing w:val="6"/>
                <w:sz w:val="18"/>
                <w:szCs w:val="18"/>
              </w:rPr>
              <w:t>%</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数量指标</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危改户数完成率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Ansi="仿宋" w:cs="宋体"/>
                <w:spacing w:val="6"/>
                <w:sz w:val="18"/>
                <w:szCs w:val="18"/>
              </w:rPr>
              <w:t>实际验收完成3928户，危改户数完成率86.63%</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数量指标</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“直过民族”整村推进完成率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int="eastAsia" w:hAnsi="仿宋" w:eastAsia="仿宋" w:cs="宋体"/>
                <w:spacing w:val="6"/>
                <w:sz w:val="18"/>
                <w:szCs w:val="18"/>
                <w:lang w:eastAsia="zh-CN"/>
              </w:rPr>
            </w:pPr>
            <w:r>
              <w:rPr>
                <w:rFonts w:hint="eastAsia" w:hAnsi="仿宋" w:cs="宋体"/>
                <w:spacing w:val="6"/>
                <w:sz w:val="18"/>
                <w:szCs w:val="18"/>
              </w:rPr>
              <w:t>“直过民族”整村推进实际完成53个村，“直过民族”整村推进完成率100%</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质量指标</w:t>
            </w:r>
          </w:p>
        </w:tc>
        <w:tc>
          <w:tcPr>
            <w:tcW w:w="133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危房改造验收合格率</w:t>
            </w:r>
          </w:p>
        </w:tc>
        <w:tc>
          <w:tcPr>
            <w:tcW w:w="231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Ansi="仿宋" w:cs="宋体"/>
                <w:spacing w:val="6"/>
                <w:sz w:val="18"/>
                <w:szCs w:val="18"/>
              </w:rPr>
              <w:t>实际验收完成3928户</w:t>
            </w:r>
            <w:r>
              <w:rPr>
                <w:rFonts w:hint="eastAsia" w:hAnsi="仿宋" w:cs="宋体"/>
                <w:spacing w:val="6"/>
                <w:sz w:val="18"/>
                <w:szCs w:val="18"/>
              </w:rPr>
              <w:t>，验收合格3913户，验收合格率99.62%</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质量指标</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整村推进项目审计完成率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53个村中47个村已完成审计验收，整村推进项目审计完成率88.68%</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成本指标</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建房面积控制</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户均建房面积≤60㎡；</w:t>
            </w:r>
          </w:p>
          <w:p>
            <w:pPr>
              <w:snapToGrid w:val="0"/>
              <w:spacing w:line="240" w:lineRule="exact"/>
              <w:jc w:val="center"/>
              <w:rPr>
                <w:rFonts w:hAnsi="仿宋" w:cs="宋体"/>
                <w:spacing w:val="6"/>
                <w:sz w:val="18"/>
                <w:szCs w:val="18"/>
              </w:rPr>
            </w:pPr>
            <w:r>
              <w:rPr>
                <w:rFonts w:hint="eastAsia" w:hAnsi="仿宋" w:cs="宋体"/>
                <w:spacing w:val="6"/>
                <w:sz w:val="18"/>
                <w:szCs w:val="18"/>
              </w:rPr>
              <w:t>人均建房面积≤18㎡；</w:t>
            </w:r>
          </w:p>
          <w:p>
            <w:pPr>
              <w:snapToGrid w:val="0"/>
              <w:spacing w:line="240" w:lineRule="exact"/>
              <w:jc w:val="center"/>
              <w:rPr>
                <w:rFonts w:hAnsi="仿宋" w:cs="宋体"/>
                <w:spacing w:val="6"/>
                <w:sz w:val="18"/>
                <w:szCs w:val="18"/>
              </w:rPr>
            </w:pPr>
            <w:r>
              <w:rPr>
                <w:rFonts w:hint="eastAsia" w:hAnsi="仿宋" w:cs="宋体"/>
                <w:spacing w:val="6"/>
                <w:sz w:val="18"/>
                <w:szCs w:val="18"/>
              </w:rPr>
              <w:t>面积超标户数占改造户数比率=面积超标户数/实际改造总户数=100%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本项目D级拆除重建3928户中，面积超标627户，超标面积共计14765.19㎡；另外，澄江县户均建房面积为63.54㎡，未达到1-3人户户均不超过60平方米的要求</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产出</w:t>
            </w:r>
            <w:r>
              <w:rPr>
                <w:rFonts w:hint="eastAsia" w:hAnsi="仿宋" w:cs="宋体"/>
                <w:spacing w:val="6"/>
                <w:sz w:val="18"/>
                <w:szCs w:val="18"/>
              </w:rPr>
              <w:br w:type="page"/>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时效指标</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资金到村到户及时率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危房改造D级拆除重建实际使用资金15259.1931万元，资金兑付到户15015.2931万元，资金到村到户及时率98.40%。易门县有238.9万元未实际兑付至农户，项目资金仍在乡镇，待兑付资料准备齐全后兑付。澄江县有1户5万元未兑付到农户</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社会效益</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带动受益人完成率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实际带动受益人数13082人，计划带动受益人数13138人，带动受益人完成率99.57%。</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社会效益</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房屋品质提升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改造后实现风貌特色、人畜分离、厨卫入户的改善提升。</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房屋质量、居住环境等较之前有明显改善，但实地评价期间，红塔区、元江县和新平县有房屋漏雨情况</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社会效益</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改造房入住率</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100%</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共有3911户实际入住，改造房屋入住率为99.56%，有17户未实际入住</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tc>
        <w:tc>
          <w:tcPr>
            <w:tcW w:w="698"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社会效益</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基础设施和公共服务改善</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全部配套改善</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完成</w:t>
            </w:r>
          </w:p>
        </w:tc>
        <w:tc>
          <w:tcPr>
            <w:tcW w:w="3137" w:type="dxa"/>
            <w:tcBorders>
              <w:top w:val="single" w:color="auto" w:sz="4" w:space="0"/>
              <w:left w:val="single" w:color="auto" w:sz="4" w:space="0"/>
              <w:bottom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整村推进项目基础设施和公共服务得到明显改善</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p>
            <w:pPr>
              <w:snapToGrid w:val="0"/>
              <w:spacing w:line="240" w:lineRule="exact"/>
              <w:jc w:val="center"/>
              <w:rPr>
                <w:rFonts w:hAnsi="仿宋" w:cs="宋体"/>
                <w:spacing w:val="6"/>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可持续发展</w:t>
            </w:r>
          </w:p>
        </w:tc>
        <w:tc>
          <w:tcPr>
            <w:tcW w:w="1335"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长效保障机制</w:t>
            </w:r>
          </w:p>
        </w:tc>
        <w:tc>
          <w:tcPr>
            <w:tcW w:w="2313"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有长效保障机制</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均未建立长效保障机制，管理主体不清晰</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0" w:type="dxa"/>
            <w:left w:w="108" w:type="dxa"/>
            <w:bottom w:w="0" w:type="dxa"/>
            <w:right w:w="108" w:type="dxa"/>
          </w:tblCellMar>
        </w:tblPrEx>
        <w:trPr>
          <w:trHeight w:val="20" w:hRule="atLeast"/>
        </w:trPr>
        <w:tc>
          <w:tcPr>
            <w:tcW w:w="697" w:type="dxa"/>
            <w:tcBorders>
              <w:top w:val="single" w:color="auto" w:sz="4" w:space="0"/>
              <w:bottom w:val="single" w:color="auto" w:sz="4" w:space="0"/>
              <w:right w:val="single" w:color="auto" w:sz="4" w:space="0"/>
            </w:tcBorders>
            <w:shd w:val="clear" w:color="auto" w:fill="auto"/>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效果</w:t>
            </w:r>
            <w:r>
              <w:rPr>
                <w:rFonts w:hint="eastAsia" w:hAnsi="仿宋" w:cs="宋体"/>
                <w:spacing w:val="6"/>
                <w:sz w:val="18"/>
                <w:szCs w:val="18"/>
              </w:rPr>
              <w:br w:type="textWrapping"/>
            </w:r>
            <w:r>
              <w:rPr>
                <w:rFonts w:hint="eastAsia" w:hAnsi="仿宋" w:cs="宋体"/>
                <w:spacing w:val="6"/>
                <w:sz w:val="18"/>
                <w:szCs w:val="18"/>
              </w:rPr>
              <w:t>指标</w:t>
            </w:r>
          </w:p>
          <w:p>
            <w:pPr>
              <w:snapToGrid w:val="0"/>
              <w:spacing w:line="240" w:lineRule="exact"/>
              <w:jc w:val="center"/>
              <w:rPr>
                <w:rFonts w:hAnsi="仿宋" w:cs="宋体"/>
                <w:spacing w:val="6"/>
                <w:sz w:val="18"/>
                <w:szCs w:val="18"/>
              </w:rPr>
            </w:pPr>
          </w:p>
        </w:tc>
        <w:tc>
          <w:tcPr>
            <w:tcW w:w="698"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可持续发展</w:t>
            </w:r>
          </w:p>
        </w:tc>
        <w:tc>
          <w:tcPr>
            <w:tcW w:w="1335"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改造后房屋保证安全期限和抗震标准</w:t>
            </w:r>
          </w:p>
        </w:tc>
        <w:tc>
          <w:tcPr>
            <w:tcW w:w="2313"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center"/>
              <w:rPr>
                <w:rFonts w:hAnsi="仿宋" w:cs="宋体"/>
                <w:spacing w:val="6"/>
                <w:sz w:val="18"/>
                <w:szCs w:val="18"/>
              </w:rPr>
            </w:pPr>
            <w:r>
              <w:rPr>
                <w:rFonts w:hint="eastAsia" w:hAnsi="仿宋" w:cs="宋体"/>
                <w:spacing w:val="6"/>
                <w:sz w:val="18"/>
                <w:szCs w:val="18"/>
              </w:rPr>
              <w:t>改造后房屋保证安全期限、抗震标准实现</w:t>
            </w:r>
          </w:p>
        </w:tc>
        <w:tc>
          <w:tcPr>
            <w:tcW w:w="880" w:type="dxa"/>
            <w:tcBorders>
              <w:top w:val="single" w:color="auto" w:sz="4" w:space="0"/>
              <w:left w:val="single" w:color="auto" w:sz="4" w:space="0"/>
              <w:bottom w:val="single" w:color="auto" w:sz="4" w:space="0"/>
              <w:right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未完成</w:t>
            </w:r>
          </w:p>
        </w:tc>
        <w:tc>
          <w:tcPr>
            <w:tcW w:w="3137" w:type="dxa"/>
            <w:tcBorders>
              <w:top w:val="single" w:color="auto" w:sz="4" w:space="0"/>
              <w:left w:val="single" w:color="auto" w:sz="4" w:space="0"/>
              <w:bottom w:val="single" w:color="auto" w:sz="4" w:space="0"/>
            </w:tcBorders>
            <w:shd w:val="clear" w:color="000000" w:fill="FFFFFF"/>
            <w:vAlign w:val="center"/>
          </w:tcPr>
          <w:p>
            <w:pPr>
              <w:snapToGrid w:val="0"/>
              <w:spacing w:line="240" w:lineRule="exact"/>
              <w:jc w:val="left"/>
              <w:rPr>
                <w:rFonts w:hAnsi="仿宋" w:cs="宋体"/>
                <w:spacing w:val="6"/>
                <w:sz w:val="18"/>
                <w:szCs w:val="18"/>
              </w:rPr>
            </w:pPr>
            <w:r>
              <w:rPr>
                <w:rFonts w:hint="eastAsia" w:hAnsi="仿宋" w:cs="宋体"/>
                <w:spacing w:val="6"/>
                <w:sz w:val="18"/>
                <w:szCs w:val="18"/>
              </w:rPr>
              <w:t>除新平县、江川区、华宁县和澄江县外，其他县区房屋验收未对抗震情况进行验收</w:t>
            </w:r>
          </w:p>
        </w:tc>
      </w:tr>
      <w:bookmarkEnd w:id="105"/>
    </w:tbl>
    <w:p>
      <w:pPr>
        <w:spacing w:line="579" w:lineRule="exact"/>
        <w:ind w:firstLine="630" w:firstLineChars="200"/>
        <w:outlineLvl w:val="1"/>
        <w:rPr>
          <w:rFonts w:ascii="楷体" w:hAnsi="楷体" w:eastAsia="楷体"/>
          <w:szCs w:val="30"/>
        </w:rPr>
      </w:pPr>
      <w:bookmarkStart w:id="107" w:name="_Toc8511_WPSOffice_Level2"/>
      <w:bookmarkStart w:id="108" w:name="_Toc13127672"/>
      <w:r>
        <w:rPr>
          <w:rFonts w:hint="eastAsia" w:ascii="楷体" w:hAnsi="楷体" w:eastAsia="楷体"/>
          <w:szCs w:val="30"/>
        </w:rPr>
        <w:t>（三）绩效自评与再评价差异分析</w:t>
      </w:r>
      <w:bookmarkEnd w:id="107"/>
      <w:bookmarkEnd w:id="108"/>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1.评价对象存在差异</w:t>
      </w:r>
    </w:p>
    <w:p>
      <w:pPr>
        <w:spacing w:line="579" w:lineRule="exact"/>
        <w:ind w:firstLine="630" w:firstLineChars="200"/>
        <w:rPr>
          <w:rFonts w:hAnsi="仿宋"/>
          <w:szCs w:val="30"/>
        </w:rPr>
      </w:pPr>
      <w:r>
        <w:rPr>
          <w:rFonts w:hint="eastAsia" w:hAnsi="仿宋"/>
          <w:szCs w:val="30"/>
        </w:rPr>
        <w:t>市扶贫办未根据《玉溪市财政局关于市本级开展2018年预算资金绩效自评的通知》（玉财投〔2019〕8号）的相关要求，对建档立卡贫困户和“直过民族”户危房改造以及“直过民族”整村推进项目进行绩效自评。2018年仅对6,550万元资金进行绩效自评。</w:t>
      </w:r>
    </w:p>
    <w:p>
      <w:pPr>
        <w:autoSpaceDE w:val="0"/>
        <w:autoSpaceDN w:val="0"/>
        <w:spacing w:line="579" w:lineRule="exact"/>
        <w:ind w:firstLine="654" w:firstLineChars="200"/>
        <w:rPr>
          <w:rFonts w:cs="仿宋"/>
          <w:spacing w:val="6"/>
          <w:szCs w:val="30"/>
        </w:rPr>
      </w:pPr>
      <w:r>
        <w:rPr>
          <w:rFonts w:hint="eastAsia" w:cs="仿宋"/>
          <w:spacing w:val="6"/>
          <w:szCs w:val="30"/>
        </w:rPr>
        <w:t>2.评价内容有差异</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市扶贫办自评对象仅为6,550万元资金进行绩效自评，而本次绩效再评价依据项目实施方案和政策文件等，制定了再评价指标体系，从投入、过程、产出和效果四个维度，自评对象与项目实施内容不一致，本次绩效再评价评价的资金总量为30,770万元，对项目实施的建设内容、资金管理、房屋质量及建后效果等方面对项目开展全面绩效再评价。</w:t>
      </w:r>
      <w:r>
        <w:rPr>
          <w:rFonts w:hint="eastAsia" w:cs="仿宋"/>
        </w:rPr>
        <w:t>再评价按投入指标权重占15%，过程指标权重占25%，产出指标权重占30%，效果指标权重30%。对各项指标进行了分值权重配置，考虑具体项目实现情况进行打分。</w:t>
      </w:r>
    </w:p>
    <w:p>
      <w:pPr>
        <w:spacing w:line="579" w:lineRule="exact"/>
        <w:ind w:firstLine="630" w:firstLineChars="200"/>
        <w:outlineLvl w:val="0"/>
        <w:rPr>
          <w:rFonts w:ascii="黑体" w:hAnsi="宋体" w:eastAsia="黑体" w:cs="宋体"/>
          <w:szCs w:val="30"/>
        </w:rPr>
      </w:pPr>
      <w:bookmarkStart w:id="109" w:name="_Toc5272_WPSOffice_Level1"/>
      <w:bookmarkStart w:id="110" w:name="_Toc13127673"/>
      <w:r>
        <w:rPr>
          <w:rFonts w:hint="eastAsia" w:ascii="黑体" w:hAnsi="宋体" w:eastAsia="黑体" w:cs="宋体"/>
          <w:szCs w:val="30"/>
        </w:rPr>
        <w:t>五、绩效再评价情况分析</w:t>
      </w:r>
      <w:bookmarkEnd w:id="109"/>
      <w:bookmarkEnd w:id="110"/>
    </w:p>
    <w:p>
      <w:pPr>
        <w:spacing w:line="579" w:lineRule="exact"/>
        <w:ind w:firstLine="632"/>
        <w:outlineLvl w:val="1"/>
        <w:rPr>
          <w:rFonts w:ascii="楷体" w:hAnsi="楷体" w:eastAsia="楷体"/>
          <w:szCs w:val="30"/>
        </w:rPr>
      </w:pPr>
      <w:bookmarkStart w:id="111" w:name="_Toc32132_WPSOffice_Level2"/>
      <w:bookmarkStart w:id="112" w:name="_Toc13127674"/>
      <w:r>
        <w:rPr>
          <w:rFonts w:hint="eastAsia" w:ascii="楷体" w:hAnsi="楷体" w:eastAsia="楷体"/>
          <w:szCs w:val="30"/>
        </w:rPr>
        <w:t>（一）投入情况分析</w:t>
      </w:r>
      <w:bookmarkEnd w:id="111"/>
      <w:bookmarkEnd w:id="112"/>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项目投入情况包括项目立项和资金落实情况。该项满分为15分，得分</w:t>
      </w:r>
      <w:r>
        <w:rPr>
          <w:rFonts w:hint="eastAsia" w:hAnsi="仿宋"/>
          <w:color w:val="000000" w:themeColor="text1"/>
          <w:szCs w:val="30"/>
          <w:lang w:val="en-US" w:eastAsia="zh-CN"/>
          <w14:textFill>
            <w14:solidFill>
              <w14:schemeClr w14:val="tx1"/>
            </w14:solidFill>
          </w14:textFill>
        </w:rPr>
        <w:t>8.92</w:t>
      </w:r>
      <w:r>
        <w:rPr>
          <w:rFonts w:hint="eastAsia" w:hAnsi="仿宋"/>
          <w:color w:val="000000" w:themeColor="text1"/>
          <w:szCs w:val="30"/>
          <w14:textFill>
            <w14:solidFill>
              <w14:schemeClr w14:val="tx1"/>
            </w14:solidFill>
          </w14:textFill>
        </w:rPr>
        <w:t>分，得分率</w:t>
      </w:r>
      <w:r>
        <w:rPr>
          <w:rFonts w:hint="eastAsia" w:hAnsi="仿宋"/>
          <w:color w:val="000000" w:themeColor="text1"/>
          <w:szCs w:val="30"/>
          <w:lang w:val="en-US" w:eastAsia="zh-CN"/>
          <w14:textFill>
            <w14:solidFill>
              <w14:schemeClr w14:val="tx1"/>
            </w14:solidFill>
          </w14:textFill>
        </w:rPr>
        <w:t>59.46</w:t>
      </w:r>
      <w:r>
        <w:rPr>
          <w:rFonts w:hint="eastAsia" w:hAnsi="仿宋"/>
          <w:color w:val="000000" w:themeColor="text1"/>
          <w:szCs w:val="30"/>
          <w14:textFill>
            <w14:solidFill>
              <w14:schemeClr w14:val="tx1"/>
            </w14:solidFill>
          </w14:textFill>
        </w:rPr>
        <w:t>%。</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1.项目立项</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项目立项指标满分9分，此项综合评价得分为</w:t>
      </w:r>
      <w:r>
        <w:rPr>
          <w:rFonts w:hint="eastAsia" w:hAnsi="仿宋"/>
          <w:color w:val="000000" w:themeColor="text1"/>
          <w:szCs w:val="30"/>
          <w:lang w:val="en-US" w:eastAsia="zh-CN"/>
          <w14:textFill>
            <w14:solidFill>
              <w14:schemeClr w14:val="tx1"/>
            </w14:solidFill>
          </w14:textFill>
        </w:rPr>
        <w:t>5.5</w:t>
      </w:r>
      <w:r>
        <w:rPr>
          <w:rFonts w:hint="eastAsia" w:hAnsi="仿宋"/>
          <w:color w:val="000000" w:themeColor="text1"/>
          <w:szCs w:val="30"/>
          <w14:textFill>
            <w14:solidFill>
              <w14:schemeClr w14:val="tx1"/>
            </w14:solidFill>
          </w14:textFill>
        </w:rPr>
        <w:t>分，得分率</w:t>
      </w:r>
      <w:r>
        <w:rPr>
          <w:rFonts w:hint="eastAsia" w:hAnsi="仿宋"/>
          <w:color w:val="000000" w:themeColor="text1"/>
          <w:szCs w:val="30"/>
          <w:lang w:val="en-US" w:eastAsia="zh-CN"/>
          <w14:textFill>
            <w14:solidFill>
              <w14:schemeClr w14:val="tx1"/>
            </w14:solidFill>
          </w14:textFill>
        </w:rPr>
        <w:t>61.11</w:t>
      </w:r>
      <w:r>
        <w:rPr>
          <w:rFonts w:hint="eastAsia" w:hAnsi="仿宋"/>
          <w:color w:val="000000" w:themeColor="text1"/>
          <w:szCs w:val="30"/>
          <w14:textFill>
            <w14:solidFill>
              <w14:schemeClr w14:val="tx1"/>
            </w14:solidFill>
          </w14:textFill>
        </w:rPr>
        <w:t>%。针对任务确定合理性、实施方案合理性、绩效目标明确性和绩效指标合理性进行评价。</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任务确定合理性方面，本项目前期准备不够充分，建档立卡贫困户和“直过民族”户危房改造户数排查、审查及上报工作未扎实到位，除新平县外，其他县（区）均无法有效提供相关排查、审核、认定相关资料。认定的任务数与实际执行任务量不一致。截至评价日，建档立卡贫困户和“直过民族”户危房改造项目实际拆除重建3928户，与认定的4534户任务数差异率为13.37%。详见表5。</w:t>
      </w:r>
    </w:p>
    <w:p>
      <w:pPr>
        <w:jc w:val="center"/>
        <w:rPr>
          <w:rFonts w:ascii="黑体" w:hAnsi="黑体" w:eastAsia="黑体" w:cs="宋体"/>
          <w:bCs/>
          <w:sz w:val="24"/>
          <w:szCs w:val="24"/>
        </w:rPr>
      </w:pPr>
      <w:r>
        <w:rPr>
          <w:rFonts w:hint="eastAsia" w:ascii="黑体" w:hAnsi="黑体" w:eastAsia="黑体" w:cs="宋体"/>
          <w:bCs/>
          <w:sz w:val="24"/>
          <w:szCs w:val="24"/>
        </w:rPr>
        <w:t>表5 建档立卡贫困户和“直过民族”户危房改造完成情况表</w:t>
      </w:r>
    </w:p>
    <w:tbl>
      <w:tblPr>
        <w:tblStyle w:val="18"/>
        <w:tblW w:w="88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6"/>
        <w:gridCol w:w="1584"/>
        <w:gridCol w:w="1701"/>
        <w:gridCol w:w="1701"/>
        <w:gridCol w:w="1701"/>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vMerge w:val="restart"/>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序号</w:t>
            </w:r>
          </w:p>
        </w:tc>
        <w:tc>
          <w:tcPr>
            <w:tcW w:w="1584" w:type="dxa"/>
            <w:vMerge w:val="restart"/>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县区</w:t>
            </w:r>
          </w:p>
        </w:tc>
        <w:tc>
          <w:tcPr>
            <w:tcW w:w="1701" w:type="dxa"/>
            <w:vMerge w:val="restart"/>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认定的任务数</w:t>
            </w:r>
          </w:p>
        </w:tc>
        <w:tc>
          <w:tcPr>
            <w:tcW w:w="1701" w:type="dxa"/>
            <w:vMerge w:val="restart"/>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实际改造户数</w:t>
            </w:r>
          </w:p>
        </w:tc>
        <w:tc>
          <w:tcPr>
            <w:tcW w:w="2831" w:type="dxa"/>
            <w:gridSpan w:val="2"/>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实际与认定的差异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vMerge w:val="continue"/>
            <w:vAlign w:val="center"/>
          </w:tcPr>
          <w:p>
            <w:pPr>
              <w:widowControl/>
              <w:jc w:val="center"/>
              <w:textAlignment w:val="center"/>
              <w:rPr>
                <w:rFonts w:ascii="宋体" w:hAnsi="宋体" w:eastAsia="宋体" w:cs="宋体"/>
                <w:b/>
                <w:color w:val="000000"/>
                <w:kern w:val="0"/>
                <w:sz w:val="21"/>
                <w:lang w:bidi="ar"/>
              </w:rPr>
            </w:pPr>
          </w:p>
        </w:tc>
        <w:tc>
          <w:tcPr>
            <w:tcW w:w="1584" w:type="dxa"/>
            <w:vMerge w:val="continue"/>
            <w:vAlign w:val="center"/>
          </w:tcPr>
          <w:p>
            <w:pPr>
              <w:widowControl/>
              <w:jc w:val="center"/>
              <w:textAlignment w:val="center"/>
              <w:rPr>
                <w:rFonts w:ascii="宋体" w:hAnsi="宋体" w:eastAsia="宋体" w:cs="宋体"/>
                <w:b/>
                <w:color w:val="000000"/>
                <w:kern w:val="0"/>
                <w:sz w:val="21"/>
                <w:lang w:bidi="ar"/>
              </w:rPr>
            </w:pPr>
          </w:p>
        </w:tc>
        <w:tc>
          <w:tcPr>
            <w:tcW w:w="1701" w:type="dxa"/>
            <w:vMerge w:val="continue"/>
            <w:vAlign w:val="center"/>
          </w:tcPr>
          <w:p>
            <w:pPr>
              <w:widowControl/>
              <w:jc w:val="center"/>
              <w:textAlignment w:val="center"/>
              <w:rPr>
                <w:rFonts w:ascii="宋体" w:hAnsi="宋体" w:eastAsia="宋体" w:cs="宋体"/>
                <w:b/>
                <w:color w:val="000000"/>
                <w:kern w:val="0"/>
                <w:sz w:val="21"/>
                <w:lang w:bidi="ar"/>
              </w:rPr>
            </w:pPr>
          </w:p>
        </w:tc>
        <w:tc>
          <w:tcPr>
            <w:tcW w:w="1701" w:type="dxa"/>
            <w:vMerge w:val="continue"/>
            <w:vAlign w:val="center"/>
          </w:tcPr>
          <w:p>
            <w:pPr>
              <w:widowControl/>
              <w:jc w:val="center"/>
              <w:textAlignment w:val="center"/>
              <w:rPr>
                <w:rFonts w:ascii="宋体" w:hAnsi="宋体" w:eastAsia="宋体" w:cs="宋体"/>
                <w:b/>
                <w:color w:val="000000"/>
                <w:kern w:val="0"/>
                <w:sz w:val="21"/>
                <w:lang w:bidi="ar"/>
              </w:rPr>
            </w:pPr>
          </w:p>
        </w:tc>
        <w:tc>
          <w:tcPr>
            <w:tcW w:w="1701" w:type="dxa"/>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差异户数</w:t>
            </w:r>
          </w:p>
        </w:tc>
        <w:tc>
          <w:tcPr>
            <w:tcW w:w="1130" w:type="dxa"/>
            <w:vAlign w:val="center"/>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差异率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1</w:t>
            </w:r>
          </w:p>
        </w:tc>
        <w:tc>
          <w:tcPr>
            <w:tcW w:w="1584" w:type="dxa"/>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合计</w:t>
            </w:r>
          </w:p>
        </w:tc>
        <w:tc>
          <w:tcPr>
            <w:tcW w:w="1701" w:type="dxa"/>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4534</w:t>
            </w:r>
          </w:p>
        </w:tc>
        <w:tc>
          <w:tcPr>
            <w:tcW w:w="1701" w:type="dxa"/>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3928</w:t>
            </w:r>
          </w:p>
        </w:tc>
        <w:tc>
          <w:tcPr>
            <w:tcW w:w="1701" w:type="dxa"/>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606</w:t>
            </w:r>
          </w:p>
        </w:tc>
        <w:tc>
          <w:tcPr>
            <w:tcW w:w="1130" w:type="dxa"/>
          </w:tcPr>
          <w:p>
            <w:pPr>
              <w:widowControl/>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13.37%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红塔区</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250</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75</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175</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江川区</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693</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536</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157</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22.67%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4</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澄江县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211</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157</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54</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22.59%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通海县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256</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174</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82</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华宁县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540</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504</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36</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易门县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123</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168</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-45</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-36.59%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8</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峨山县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230</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202</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28</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12.17%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9</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新平县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1557</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1506</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51</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10</w:t>
            </w:r>
          </w:p>
        </w:tc>
        <w:tc>
          <w:tcPr>
            <w:tcW w:w="1584"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元江县</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674</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606</w:t>
            </w:r>
          </w:p>
        </w:tc>
        <w:tc>
          <w:tcPr>
            <w:tcW w:w="1701"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68</w:t>
            </w:r>
          </w:p>
        </w:tc>
        <w:tc>
          <w:tcPr>
            <w:tcW w:w="1130" w:type="dxa"/>
          </w:tcPr>
          <w:p>
            <w:pPr>
              <w:widowControl/>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10.09%</w:t>
            </w:r>
          </w:p>
        </w:tc>
      </w:tr>
    </w:tbl>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（2）实施方案合理性方面，市扶贫办制定了本项目实施方案，根据项目</w:t>
      </w:r>
      <w:r>
        <w:rPr>
          <w:rFonts w:hint="eastAsia" w:hAnsi="仿宋"/>
          <w:szCs w:val="30"/>
        </w:rPr>
        <w:t>实施方案，</w:t>
      </w:r>
      <w:r>
        <w:rPr>
          <w:rFonts w:hint="eastAsia" w:hAnsi="仿宋"/>
          <w:color w:val="000000" w:themeColor="text1"/>
          <w:szCs w:val="30"/>
          <w14:textFill>
            <w14:solidFill>
              <w14:schemeClr w14:val="tx1"/>
            </w14:solidFill>
          </w14:textFill>
        </w:rPr>
        <w:t>有较详细的实施进度安排及执行计划；对资金安排进行合理分解及补助标准的确定；有明确具体的实施内容。</w:t>
      </w:r>
    </w:p>
    <w:p>
      <w:pPr>
        <w:spacing w:line="579" w:lineRule="exact"/>
        <w:ind w:firstLine="630" w:firstLineChars="200"/>
        <w:rPr>
          <w:rFonts w:hint="eastAsia" w:hAnsi="仿宋"/>
          <w:color w:val="000000" w:themeColor="text1"/>
          <w:szCs w:val="30"/>
          <w:lang w:val="en-US" w:eastAsia="zh-CN"/>
          <w14:textFill>
            <w14:solidFill>
              <w14:schemeClr w14:val="tx1"/>
            </w14:solidFill>
          </w14:textFill>
        </w:rPr>
      </w:pPr>
      <w:r>
        <w:rPr>
          <w:rFonts w:hint="eastAsia" w:hAnsi="仿宋"/>
          <w:color w:val="000000" w:themeColor="text1"/>
          <w:szCs w:val="30"/>
          <w14:textFill>
            <w14:solidFill>
              <w14:schemeClr w14:val="tx1"/>
            </w14:solidFill>
          </w14:textFill>
        </w:rPr>
        <w:t>（3）绩效目标明确性和绩效指标合理性方面，项目申报时</w:t>
      </w:r>
      <w:r>
        <w:rPr>
          <w:rFonts w:hint="eastAsia" w:hAnsi="仿宋"/>
          <w:color w:val="000000" w:themeColor="text1"/>
          <w:szCs w:val="30"/>
          <w:lang w:val="en-US" w:eastAsia="zh-CN"/>
          <w14:textFill>
            <w14:solidFill>
              <w14:schemeClr w14:val="tx1"/>
            </w14:solidFill>
          </w14:textFill>
        </w:rPr>
        <w:t>对6550万元项目资金</w:t>
      </w:r>
      <w:r>
        <w:rPr>
          <w:rFonts w:hint="eastAsia" w:hAnsi="仿宋"/>
          <w:color w:val="000000" w:themeColor="text1"/>
          <w:szCs w:val="30"/>
          <w14:textFill>
            <w14:solidFill>
              <w14:schemeClr w14:val="tx1"/>
            </w14:solidFill>
          </w14:textFill>
        </w:rPr>
        <w:t>设置相应的绩效目标及可量化的绩效指标，</w:t>
      </w:r>
      <w:r>
        <w:rPr>
          <w:rFonts w:hint="eastAsia" w:hAnsi="仿宋"/>
          <w:color w:val="000000" w:themeColor="text1"/>
          <w:szCs w:val="30"/>
          <w:lang w:val="en-US" w:eastAsia="zh-CN"/>
          <w14:textFill>
            <w14:solidFill>
              <w14:schemeClr w14:val="tx1"/>
            </w14:solidFill>
          </w14:textFill>
        </w:rPr>
        <w:t>其中个别指标不可考核，详见附件2。</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2.资金落实</w:t>
      </w:r>
    </w:p>
    <w:p>
      <w:pPr>
        <w:spacing w:line="579" w:lineRule="exact"/>
        <w:ind w:firstLine="630" w:firstLineChars="200"/>
        <w:rPr>
          <w:rFonts w:hint="eastAsia"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资金落实指标满分6分。综合评价得分为3.42分，得分率57%。从资金拨付率、资金拨付及时率2个方面对项目资金落实情况进行评价。</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市级层面，项目预算批复资金于2017年12月足额及时下达至各县（区）扶贫部门；县（区）级层面，截至评价日，共计及时下拨资金23,366.88万元，</w:t>
      </w:r>
      <w:r>
        <w:rPr>
          <w:rFonts w:hint="eastAsia" w:hAnsi="仿宋"/>
          <w:color w:val="000000" w:themeColor="text1"/>
          <w:szCs w:val="30"/>
          <w:lang w:val="en-US" w:eastAsia="zh-CN"/>
          <w14:textFill>
            <w14:solidFill>
              <w14:schemeClr w14:val="tx1"/>
            </w14:solidFill>
          </w14:textFill>
        </w:rPr>
        <w:t>其余</w:t>
      </w:r>
      <w:r>
        <w:rPr>
          <w:rFonts w:hint="eastAsia" w:hAnsi="仿宋"/>
          <w:color w:val="000000" w:themeColor="text1"/>
          <w:szCs w:val="30"/>
          <w14:textFill>
            <w14:solidFill>
              <w14:schemeClr w14:val="tx1"/>
            </w14:solidFill>
          </w14:textFill>
        </w:rPr>
        <w:t>项目资金未及时足额拨付至各乡镇。详见表6：</w:t>
      </w:r>
    </w:p>
    <w:p>
      <w:pPr>
        <w:ind w:firstLine="510" w:firstLineChars="200"/>
        <w:jc w:val="center"/>
        <w:rPr>
          <w:rFonts w:ascii="黑体" w:hAnsi="黑体" w:eastAsia="黑体" w:cs="宋体"/>
          <w:bCs/>
          <w:sz w:val="24"/>
          <w:szCs w:val="24"/>
        </w:rPr>
      </w:pPr>
      <w:r>
        <w:rPr>
          <w:rFonts w:hint="eastAsia" w:ascii="黑体" w:hAnsi="黑体" w:eastAsia="黑体" w:cs="宋体"/>
          <w:bCs/>
          <w:sz w:val="24"/>
          <w:szCs w:val="24"/>
        </w:rPr>
        <w:t>表6 各县（区）扶贫部门资金拨付统计表</w:t>
      </w:r>
    </w:p>
    <w:p>
      <w:pPr>
        <w:ind w:firstLine="510" w:firstLineChars="200"/>
        <w:jc w:val="right"/>
        <w:rPr>
          <w:rFonts w:ascii="黑体" w:hAnsi="黑体" w:eastAsia="黑体" w:cs="宋体"/>
          <w:bCs/>
          <w:sz w:val="24"/>
          <w:szCs w:val="24"/>
        </w:rPr>
      </w:pPr>
      <w:r>
        <w:rPr>
          <w:rFonts w:hint="eastAsia" w:ascii="黑体" w:hAnsi="黑体" w:eastAsia="黑体" w:cs="宋体"/>
          <w:bCs/>
          <w:sz w:val="24"/>
          <w:szCs w:val="24"/>
        </w:rPr>
        <w:t>金额单位：万元</w:t>
      </w:r>
    </w:p>
    <w:tbl>
      <w:tblPr>
        <w:tblStyle w:val="18"/>
        <w:tblW w:w="8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950"/>
        <w:gridCol w:w="2100"/>
        <w:gridCol w:w="1288"/>
        <w:gridCol w:w="1412"/>
        <w:gridCol w:w="2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b/>
                <w:color w:val="000000" w:themeColor="text1"/>
                <w:szCs w:val="30"/>
                <w14:textFill>
                  <w14:solidFill>
                    <w14:schemeClr w14:val="tx1"/>
                  </w14:solidFill>
                </w14:textFill>
              </w:rPr>
            </w:pPr>
            <w:r>
              <w:rPr>
                <w:rFonts w:hint="eastAsia" w:ascii="宋体" w:hAnsi="宋体" w:eastAsia="宋体" w:cs="宋体"/>
                <w:b/>
                <w:color w:val="000000"/>
                <w:kern w:val="0"/>
                <w:sz w:val="22"/>
                <w:szCs w:val="22"/>
                <w:lang w:bidi="ar"/>
              </w:rPr>
              <w:t>序号</w:t>
            </w:r>
          </w:p>
        </w:tc>
        <w:tc>
          <w:tcPr>
            <w:tcW w:w="950" w:type="dxa"/>
            <w:vAlign w:val="center"/>
          </w:tcPr>
          <w:p>
            <w:pPr>
              <w:widowControl/>
              <w:jc w:val="center"/>
              <w:textAlignment w:val="center"/>
              <w:rPr>
                <w:rFonts w:hAnsi="仿宋"/>
                <w:b/>
                <w:color w:val="000000" w:themeColor="text1"/>
                <w:szCs w:val="30"/>
                <w14:textFill>
                  <w14:solidFill>
                    <w14:schemeClr w14:val="tx1"/>
                  </w14:solidFill>
                </w14:textFill>
              </w:rPr>
            </w:pPr>
            <w:r>
              <w:rPr>
                <w:rFonts w:hint="eastAsia" w:ascii="宋体" w:hAnsi="宋体" w:eastAsia="宋体" w:cs="宋体"/>
                <w:b/>
                <w:color w:val="000000"/>
                <w:kern w:val="0"/>
                <w:sz w:val="22"/>
                <w:szCs w:val="22"/>
                <w:lang w:bidi="ar"/>
              </w:rPr>
              <w:t>县区</w:t>
            </w:r>
          </w:p>
        </w:tc>
        <w:tc>
          <w:tcPr>
            <w:tcW w:w="2100"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拨付时间</w:t>
            </w:r>
          </w:p>
        </w:tc>
        <w:tc>
          <w:tcPr>
            <w:tcW w:w="1288"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拨付金额</w:t>
            </w:r>
          </w:p>
        </w:tc>
        <w:tc>
          <w:tcPr>
            <w:tcW w:w="1412"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未及时拨付金额</w:t>
            </w:r>
          </w:p>
        </w:tc>
        <w:tc>
          <w:tcPr>
            <w:tcW w:w="2393"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b/>
                <w:color w:val="000000" w:themeColor="text1"/>
                <w:szCs w:val="30"/>
                <w14:textFill>
                  <w14:solidFill>
                    <w14:schemeClr w14:val="tx1"/>
                  </w14:solidFill>
                </w14:textFill>
              </w:rPr>
            </w:pPr>
            <w:r>
              <w:rPr>
                <w:rFonts w:hint="eastAsia" w:ascii="宋体" w:hAnsi="宋体" w:eastAsia="宋体" w:cs="宋体"/>
                <w:b/>
                <w:color w:val="000000"/>
                <w:kern w:val="0"/>
                <w:sz w:val="22"/>
                <w:szCs w:val="22"/>
                <w:lang w:bidi="ar"/>
              </w:rPr>
              <w:t>1</w:t>
            </w:r>
          </w:p>
        </w:tc>
        <w:tc>
          <w:tcPr>
            <w:tcW w:w="950" w:type="dxa"/>
            <w:vAlign w:val="center"/>
          </w:tcPr>
          <w:p>
            <w:pPr>
              <w:widowControl/>
              <w:jc w:val="center"/>
              <w:textAlignment w:val="center"/>
              <w:rPr>
                <w:rFonts w:hAnsi="仿宋"/>
                <w:b/>
                <w:color w:val="000000" w:themeColor="text1"/>
                <w:szCs w:val="30"/>
                <w14:textFill>
                  <w14:solidFill>
                    <w14:schemeClr w14:val="tx1"/>
                  </w14:solidFill>
                </w14:textFill>
              </w:rPr>
            </w:pPr>
            <w:r>
              <w:rPr>
                <w:rFonts w:hint="eastAsia" w:ascii="宋体" w:hAnsi="宋体" w:eastAsia="宋体" w:cs="宋体"/>
                <w:b/>
                <w:color w:val="000000"/>
                <w:kern w:val="0"/>
                <w:sz w:val="22"/>
                <w:szCs w:val="22"/>
                <w:lang w:bidi="ar"/>
              </w:rPr>
              <w:t>玉溪市</w:t>
            </w:r>
          </w:p>
        </w:tc>
        <w:tc>
          <w:tcPr>
            <w:tcW w:w="2100"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2017年12月</w:t>
            </w:r>
          </w:p>
        </w:tc>
        <w:tc>
          <w:tcPr>
            <w:tcW w:w="1288"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23366.88</w:t>
            </w:r>
          </w:p>
        </w:tc>
        <w:tc>
          <w:tcPr>
            <w:tcW w:w="1412"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7403.16</w:t>
            </w:r>
          </w:p>
        </w:tc>
        <w:tc>
          <w:tcPr>
            <w:tcW w:w="2393" w:type="dxa"/>
            <w:vAlign w:val="center"/>
          </w:tcPr>
          <w:p>
            <w:pPr>
              <w:widowControl/>
              <w:jc w:val="center"/>
              <w:textAlignment w:val="center"/>
              <w:rPr>
                <w:rFonts w:ascii="宋体" w:hAnsi="宋体" w:eastAsia="宋体" w:cs="宋体"/>
                <w:b/>
                <w:color w:val="000000"/>
                <w:kern w:val="0"/>
                <w:sz w:val="22"/>
                <w:szCs w:val="22"/>
                <w:lang w:bidi="ar"/>
              </w:rPr>
            </w:pPr>
            <w:r>
              <w:rPr>
                <w:rFonts w:hint="eastAsia" w:ascii="宋体" w:hAnsi="宋体" w:eastAsia="宋体" w:cs="宋体"/>
                <w:b/>
                <w:color w:val="000000"/>
                <w:kern w:val="0"/>
                <w:sz w:val="22"/>
                <w:szCs w:val="22"/>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2</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红塔区</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2018年6月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268.52</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981.48</w:t>
            </w:r>
          </w:p>
        </w:tc>
        <w:tc>
          <w:tcPr>
            <w:tcW w:w="2393" w:type="dxa"/>
            <w:vAlign w:val="center"/>
          </w:tcPr>
          <w:p>
            <w:pPr>
              <w:widowControl/>
              <w:jc w:val="center"/>
              <w:textAlignment w:val="center"/>
              <w:rPr>
                <w:rFonts w:ascii="宋体" w:hAnsi="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项目实施期间资金仍在区扶贫办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3</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江川区</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2018年3、4、5月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2010</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1455</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项目实施期间资金仍在区扶贫办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4</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澄江县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2018年6月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790</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265</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项目实施期间资金仍在县区扶贫办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5</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通海县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2018年6月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542.98</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737.02</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项目实施期间资金仍在县扶贫办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6</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华宁县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2018年6月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2501</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199</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项目实施期间资金仍在县扶贫办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7</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易门县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2018年6月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386.38</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228.62</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项目实施期间资金仍在县扶贫办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8</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峨山县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2018年5月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985</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165</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项目实施期间资金仍在县财政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9</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新平县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2017年12月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11413</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3372</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3372万元未正式发文下拨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3"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10</w:t>
            </w:r>
          </w:p>
        </w:tc>
        <w:tc>
          <w:tcPr>
            <w:tcW w:w="950" w:type="dxa"/>
            <w:vAlign w:val="center"/>
          </w:tcPr>
          <w:p>
            <w:pPr>
              <w:widowControl/>
              <w:jc w:val="center"/>
              <w:textAlignment w:val="center"/>
              <w:rPr>
                <w:rFonts w:hAnsi="仿宋"/>
                <w:color w:val="000000" w:themeColor="text1"/>
                <w:szCs w:val="30"/>
                <w14:textFill>
                  <w14:solidFill>
                    <w14:schemeClr w14:val="tx1"/>
                  </w14:solidFill>
                </w14:textFill>
              </w:rPr>
            </w:pPr>
            <w:r>
              <w:rPr>
                <w:rFonts w:hint="eastAsia" w:ascii="宋体" w:hAnsi="宋体" w:eastAsia="宋体" w:cs="宋体"/>
                <w:bCs/>
                <w:color w:val="000000"/>
                <w:kern w:val="0"/>
                <w:sz w:val="22"/>
                <w:szCs w:val="22"/>
                <w:lang w:bidi="ar"/>
              </w:rPr>
              <w:t>元江县</w:t>
            </w:r>
          </w:p>
        </w:tc>
        <w:tc>
          <w:tcPr>
            <w:tcW w:w="2100"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2018年8月和11月</w:t>
            </w:r>
          </w:p>
        </w:tc>
        <w:tc>
          <w:tcPr>
            <w:tcW w:w="1288"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4470</w:t>
            </w:r>
          </w:p>
        </w:tc>
        <w:tc>
          <w:tcPr>
            <w:tcW w:w="1412" w:type="dxa"/>
            <w:vAlign w:val="center"/>
          </w:tcPr>
          <w:p>
            <w:pPr>
              <w:widowControl/>
              <w:jc w:val="center"/>
              <w:textAlignment w:val="center"/>
              <w:rPr>
                <w:rFonts w:ascii="宋体" w:hAnsi="宋体" w:eastAsia="宋体" w:cs="宋体"/>
                <w:bCs/>
                <w:color w:val="000000"/>
                <w:kern w:val="0"/>
                <w:sz w:val="22"/>
                <w:szCs w:val="22"/>
                <w:lang w:bidi="ar"/>
              </w:rPr>
            </w:pPr>
            <w:r>
              <w:rPr>
                <w:rFonts w:hint="eastAsia" w:ascii="宋体" w:hAnsi="宋体" w:eastAsia="宋体" w:cs="宋体"/>
                <w:bCs/>
                <w:color w:val="000000"/>
                <w:kern w:val="0"/>
                <w:sz w:val="22"/>
                <w:szCs w:val="22"/>
                <w:lang w:bidi="ar"/>
              </w:rPr>
              <w:t>0</w:t>
            </w:r>
          </w:p>
        </w:tc>
        <w:tc>
          <w:tcPr>
            <w:tcW w:w="2393" w:type="dxa"/>
            <w:vAlign w:val="center"/>
          </w:tcPr>
          <w:p>
            <w:pPr>
              <w:widowControl/>
              <w:jc w:val="center"/>
              <w:textAlignment w:val="center"/>
              <w:rPr>
                <w:rFonts w:ascii="宋体" w:hAnsi="宋体" w:eastAsia="宋体" w:cs="宋体"/>
                <w:bCs/>
                <w:color w:val="000000"/>
                <w:kern w:val="0"/>
                <w:sz w:val="22"/>
                <w:szCs w:val="22"/>
                <w:lang w:bidi="ar"/>
              </w:rPr>
            </w:pPr>
          </w:p>
        </w:tc>
      </w:tr>
    </w:tbl>
    <w:p>
      <w:pPr>
        <w:adjustRightInd w:val="0"/>
        <w:snapToGrid w:val="0"/>
        <w:ind w:firstLine="450" w:firstLineChars="200"/>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注：</w:t>
      </w:r>
      <w:r>
        <w:rPr>
          <w:rFonts w:hint="eastAsia" w:ascii="宋体" w:hAnsi="宋体" w:eastAsia="宋体" w:cs="宋体"/>
          <w:color w:val="000000"/>
          <w:kern w:val="0"/>
          <w:sz w:val="21"/>
          <w:lang w:bidi="ar"/>
        </w:rPr>
        <w:t>拨付金额为县区扶贫部门拨付至域内各乡镇数</w:t>
      </w:r>
    </w:p>
    <w:p>
      <w:pPr>
        <w:spacing w:line="579" w:lineRule="exact"/>
        <w:ind w:firstLine="630" w:firstLineChars="200"/>
        <w:outlineLvl w:val="1"/>
        <w:rPr>
          <w:rFonts w:ascii="楷体" w:hAnsi="楷体" w:eastAsia="楷体"/>
          <w:szCs w:val="30"/>
        </w:rPr>
      </w:pPr>
      <w:bookmarkStart w:id="113" w:name="_Toc8622_WPSOffice_Level2"/>
      <w:bookmarkStart w:id="114" w:name="_Toc13127675"/>
      <w:r>
        <w:rPr>
          <w:rFonts w:hint="eastAsia" w:ascii="楷体" w:hAnsi="楷体" w:eastAsia="楷体"/>
          <w:szCs w:val="30"/>
        </w:rPr>
        <w:t>（二）过程情况分析</w:t>
      </w:r>
      <w:bookmarkEnd w:id="113"/>
      <w:bookmarkEnd w:id="114"/>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项目过程情况包括项目管理、财务管理。满分为25分，得分</w:t>
      </w:r>
      <w:r>
        <w:rPr>
          <w:rFonts w:hint="eastAsia" w:hAnsi="仿宋"/>
          <w:color w:val="000000" w:themeColor="text1"/>
          <w:szCs w:val="30"/>
          <w:lang w:val="en-US" w:eastAsia="zh-CN"/>
          <w14:textFill>
            <w14:solidFill>
              <w14:schemeClr w14:val="tx1"/>
            </w14:solidFill>
          </w14:textFill>
        </w:rPr>
        <w:t>14.41</w:t>
      </w:r>
      <w:r>
        <w:rPr>
          <w:rFonts w:hint="eastAsia" w:hAnsi="仿宋"/>
          <w:color w:val="000000" w:themeColor="text1"/>
          <w:szCs w:val="30"/>
          <w14:textFill>
            <w14:solidFill>
              <w14:schemeClr w14:val="tx1"/>
            </w14:solidFill>
          </w14:textFill>
        </w:rPr>
        <w:t>分，得分率</w:t>
      </w:r>
      <w:r>
        <w:rPr>
          <w:rFonts w:hint="eastAsia" w:hAnsi="仿宋"/>
          <w:color w:val="000000" w:themeColor="text1"/>
          <w:szCs w:val="30"/>
          <w:lang w:val="en-US" w:eastAsia="zh-CN"/>
          <w14:textFill>
            <w14:solidFill>
              <w14:schemeClr w14:val="tx1"/>
            </w14:solidFill>
          </w14:textFill>
        </w:rPr>
        <w:t>57</w:t>
      </w:r>
      <w:r>
        <w:rPr>
          <w:rFonts w:hint="eastAsia" w:hAnsi="仿宋"/>
          <w:color w:val="000000" w:themeColor="text1"/>
          <w:szCs w:val="30"/>
          <w14:textFill>
            <w14:solidFill>
              <w14:schemeClr w14:val="tx1"/>
            </w14:solidFill>
          </w14:textFill>
        </w:rPr>
        <w:t>.64%。</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1.项目管理</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项目管理指标满分19分综合评价得分为</w:t>
      </w:r>
      <w:r>
        <w:rPr>
          <w:rFonts w:hint="eastAsia" w:hAnsi="仿宋"/>
          <w:color w:val="000000" w:themeColor="text1"/>
          <w:szCs w:val="30"/>
          <w:lang w:val="en-US" w:eastAsia="zh-CN"/>
          <w14:textFill>
            <w14:solidFill>
              <w14:schemeClr w14:val="tx1"/>
            </w14:solidFill>
          </w14:textFill>
        </w:rPr>
        <w:t>9.40</w:t>
      </w:r>
      <w:r>
        <w:rPr>
          <w:rFonts w:hint="eastAsia" w:hAnsi="仿宋"/>
          <w:color w:val="000000" w:themeColor="text1"/>
          <w:szCs w:val="30"/>
          <w14:textFill>
            <w14:solidFill>
              <w14:schemeClr w14:val="tx1"/>
            </w14:solidFill>
          </w14:textFill>
        </w:rPr>
        <w:t>分，得分率</w:t>
      </w:r>
      <w:r>
        <w:rPr>
          <w:rFonts w:hint="eastAsia" w:hAnsi="仿宋"/>
          <w:color w:val="000000" w:themeColor="text1"/>
          <w:szCs w:val="30"/>
          <w:lang w:val="en-US" w:eastAsia="zh-CN"/>
          <w14:textFill>
            <w14:solidFill>
              <w14:schemeClr w14:val="tx1"/>
            </w14:solidFill>
          </w14:textFill>
        </w:rPr>
        <w:t>49.47</w:t>
      </w:r>
      <w:r>
        <w:rPr>
          <w:rFonts w:hint="eastAsia" w:hAnsi="仿宋"/>
          <w:color w:val="000000" w:themeColor="text1"/>
          <w:szCs w:val="30"/>
          <w14:textFill>
            <w14:solidFill>
              <w14:schemeClr w14:val="tx1"/>
            </w14:solidFill>
          </w14:textFill>
        </w:rPr>
        <w:t>%。对管理制度健全性、制度执行有效性、房屋建设合规性、档案管理规范性、绩效自评、发放标准准确性等方面进行评价。</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管理制度方面，依据提供资料，除玉溪市、元江县、江川区和新平县外，其他县（区）扶贫部门未建立完善有效的监督检查机制，制度流于形式，未明确本项目监督检查工作要求、检查内容和检查重点；除江川区和新平县外，其他县（区）在制度管理方面，均存在较大缺失，如未对项目管理实行责任人负责制，未制定适用于该项目的资金管理办法，无项目的绩效管理办法等，详见附件2。</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制度执行方面，除新平县外，其他市县两级扶贫部门在项目实施期间，虽开展一定程度的监督检查，但均未有效落实监督检查责任，未针对本项目“每季一督查、半年一检查、全年一考核”开展专项监督检查工作，未建立监督检查机制，明确监督检查工作要求、检查内容和检查重点，形成检查痕迹；未建立项目考核制度和落实绩效考核责任。间接导致多数县（区）扶贫部门对本项目的整体情况不完全了解，缺少必要的资金管理。</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3）房屋建设方面，各个县（区）在项目实施期间，房屋建设招投标、施工建设、竣工验收、审计结算等方面不同程度地存在一定的瑕疵和不规范之处，项目主管部门对项目工程施工方面缺乏有效专业监管和指导。详见</w:t>
      </w:r>
      <w:r>
        <w:rPr>
          <w:rFonts w:hint="eastAsia" w:hAnsi="仿宋"/>
          <w:color w:val="000000" w:themeColor="text1"/>
          <w:szCs w:val="30"/>
          <w:lang w:val="en-US" w:eastAsia="zh-CN"/>
          <w14:textFill>
            <w14:solidFill>
              <w14:schemeClr w14:val="tx1"/>
            </w14:solidFill>
          </w14:textFill>
        </w:rPr>
        <w:t>附件6</w:t>
      </w:r>
      <w:r>
        <w:rPr>
          <w:rFonts w:hint="eastAsia" w:hAnsi="仿宋"/>
          <w:color w:val="000000" w:themeColor="text1"/>
          <w:szCs w:val="30"/>
          <w14:textFill>
            <w14:solidFill>
              <w14:schemeClr w14:val="tx1"/>
            </w14:solidFill>
          </w14:textFill>
        </w:rPr>
        <w:t xml:space="preserve">。 </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4）发放标准准确性方面，各县（区）在项目实施期间，华宁县、澄江县和元江县未按2018年6月4日下发《玉溪市扶贫开发领导小组关于切实做好建档立卡贫困户和“直过民族”户D级危房就近就地拆除重建资金的兑补工作通知》（玉扶组发〔2018〕10号）的要求，执行“</w:t>
      </w:r>
      <w:r>
        <w:rPr>
          <w:rFonts w:hint="eastAsia" w:hAnsi="仿宋"/>
          <w:szCs w:val="30"/>
        </w:rPr>
        <w:t>每户补助5万元，其中住建农村危房专项资金2.1万元，市级过桥贷款资金补助2.9万元</w:t>
      </w:r>
      <w:r>
        <w:rPr>
          <w:rFonts w:hint="eastAsia" w:hAnsi="仿宋"/>
          <w:color w:val="000000" w:themeColor="text1"/>
          <w:szCs w:val="30"/>
          <w14:textFill>
            <w14:solidFill>
              <w14:schemeClr w14:val="tx1"/>
            </w14:solidFill>
          </w14:textFill>
        </w:rPr>
        <w:t>”的补助</w:t>
      </w:r>
      <w:r>
        <w:rPr>
          <w:rFonts w:hint="eastAsia" w:hAnsi="仿宋"/>
          <w:szCs w:val="30"/>
        </w:rPr>
        <w:t>政策，共涉及10</w:t>
      </w:r>
      <w:r>
        <w:rPr>
          <w:rFonts w:hint="eastAsia" w:hAnsi="仿宋"/>
          <w:szCs w:val="30"/>
          <w:lang w:val="en-US" w:eastAsia="zh-CN"/>
        </w:rPr>
        <w:t>90</w:t>
      </w:r>
      <w:r>
        <w:rPr>
          <w:rFonts w:hint="eastAsia" w:hAnsi="仿宋"/>
          <w:szCs w:val="30"/>
        </w:rPr>
        <w:t>户。</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（5）档案管理方面，除易门县外，其他市县两级扶贫部门对本项目档案资料未进行规范存档，项目档案资料多处多地存档，资料不完整、不齐全、不规范。</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2.财务管理</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财务管理情况，满分6分，综合评价得分为5分，得分率83.33%。从资金使用合规性、会计核算规范性2个方面对专项资金整体财务管理情况进行评价。</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本项目资金使用较规范，资金使用符合项目预算批复用途，均为补助建档立卡贫困户和“直过民族”户以及支付“直过民族”整村推进相关工程费用。会计核算方面，通海县1280万元项目资金仍为人工做账，未进行会计电算化，且未设专账核算；峨山县2018年项目资金记账凭证、原始凭证仍未打印装订存档，项目资金未建立专账管理。</w:t>
      </w:r>
    </w:p>
    <w:p>
      <w:pPr>
        <w:spacing w:line="579" w:lineRule="exact"/>
        <w:ind w:firstLine="630" w:firstLineChars="200"/>
        <w:outlineLvl w:val="1"/>
        <w:rPr>
          <w:rFonts w:ascii="楷体" w:hAnsi="楷体" w:eastAsia="楷体"/>
          <w:kern w:val="0"/>
          <w:szCs w:val="30"/>
        </w:rPr>
      </w:pPr>
      <w:bookmarkStart w:id="115" w:name="_Toc13127676"/>
      <w:bookmarkStart w:id="116" w:name="_Toc14516_WPSOffice_Level2"/>
      <w:bookmarkStart w:id="117" w:name="_Toc528165043"/>
      <w:bookmarkStart w:id="118" w:name="_Toc518894407"/>
      <w:r>
        <w:rPr>
          <w:rFonts w:hint="eastAsia" w:ascii="楷体" w:hAnsi="楷体" w:eastAsia="楷体"/>
          <w:kern w:val="0"/>
          <w:szCs w:val="30"/>
        </w:rPr>
        <w:t>（三）产出情况分析</w:t>
      </w:r>
      <w:bookmarkEnd w:id="115"/>
      <w:bookmarkEnd w:id="116"/>
      <w:bookmarkEnd w:id="117"/>
      <w:bookmarkEnd w:id="118"/>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项目产出情况包括产出数量、产出质量、产出成本和产出时效情况。该项满分为30分，得分15.17分，得分率50.57%。</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1.产出数量和质量</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产出数量和质量指标满分19分，综合评价得分为11.50分，得分率60.53%。主要关注项目直接产出数量，反映建档立卡贫困户和“直过民族”户以及支付“直过民族”整村推进完成情况。指标包括资金使用率、危改户数完成率、整村推进项目审计完成率等5个指标。</w:t>
      </w:r>
    </w:p>
    <w:p>
      <w:pPr>
        <w:spacing w:line="579" w:lineRule="exact"/>
        <w:ind w:firstLine="630" w:firstLineChars="200"/>
        <w:rPr>
          <w:rFonts w:ascii="黑体" w:hAnsi="黑体" w:eastAsia="黑体"/>
          <w:sz w:val="24"/>
          <w:szCs w:val="24"/>
        </w:rPr>
      </w:pPr>
      <w:r>
        <w:rPr>
          <w:rFonts w:hint="eastAsia" w:hAnsi="仿宋"/>
          <w:color w:val="000000" w:themeColor="text1"/>
          <w:szCs w:val="30"/>
          <w14:textFill>
            <w14:solidFill>
              <w14:schemeClr w14:val="tx1"/>
            </w14:solidFill>
          </w14:textFill>
        </w:rPr>
        <w:t>（1）资金使用。截至评价日，建档立卡贫困户和“直过民族”户以及支付“直过民族”整村推进项目总资金30</w:t>
      </w:r>
      <w:r>
        <w:rPr>
          <w:rFonts w:hAnsi="仿宋"/>
          <w:color w:val="000000" w:themeColor="text1"/>
          <w:szCs w:val="30"/>
          <w14:textFill>
            <w14:solidFill>
              <w14:schemeClr w14:val="tx1"/>
            </w14:solidFill>
          </w14:textFill>
        </w:rPr>
        <w:t>,</w:t>
      </w:r>
      <w:r>
        <w:rPr>
          <w:rFonts w:hint="eastAsia" w:hAnsi="仿宋"/>
          <w:color w:val="000000" w:themeColor="text1"/>
          <w:szCs w:val="30"/>
          <w14:textFill>
            <w14:solidFill>
              <w14:schemeClr w14:val="tx1"/>
            </w14:solidFill>
          </w14:textFill>
        </w:rPr>
        <w:t>770万元，实际资金使用</w:t>
      </w:r>
      <w:r>
        <w:rPr>
          <w:rFonts w:hint="eastAsia" w:hAnsi="仿宋"/>
          <w:szCs w:val="30"/>
        </w:rPr>
        <w:t>23</w:t>
      </w:r>
      <w:r>
        <w:rPr>
          <w:rFonts w:hint="eastAsia" w:hAnsi="仿宋"/>
          <w:szCs w:val="30"/>
          <w:lang w:val="en-US" w:eastAsia="zh-CN"/>
        </w:rPr>
        <w:t>,</w:t>
      </w:r>
      <w:r>
        <w:rPr>
          <w:rFonts w:hint="eastAsia" w:hAnsi="仿宋"/>
          <w:szCs w:val="30"/>
        </w:rPr>
        <w:t>359.19</w:t>
      </w:r>
      <w:r>
        <w:rPr>
          <w:rFonts w:hint="eastAsia" w:hAnsi="仿宋"/>
          <w:color w:val="000000" w:themeColor="text1"/>
          <w:szCs w:val="30"/>
          <w14:textFill>
            <w14:solidFill>
              <w14:schemeClr w14:val="tx1"/>
            </w14:solidFill>
          </w14:textFill>
        </w:rPr>
        <w:t>万元，资金使用率</w:t>
      </w:r>
      <w:r>
        <w:rPr>
          <w:rFonts w:hint="eastAsia" w:hAnsi="仿宋"/>
          <w:color w:val="000000" w:themeColor="text1"/>
          <w:szCs w:val="30"/>
          <w:lang w:val="en-US" w:eastAsia="zh-CN"/>
          <w14:textFill>
            <w14:solidFill>
              <w14:schemeClr w14:val="tx1"/>
            </w14:solidFill>
          </w14:textFill>
        </w:rPr>
        <w:t>75.91</w:t>
      </w:r>
      <w:r>
        <w:rPr>
          <w:rFonts w:hint="eastAsia" w:hAnsi="仿宋"/>
          <w:color w:val="000000" w:themeColor="text1"/>
          <w:szCs w:val="30"/>
          <w14:textFill>
            <w14:solidFill>
              <w14:schemeClr w14:val="tx1"/>
            </w14:solidFill>
          </w14:textFill>
        </w:rPr>
        <w:t>%，资金结余较大。另外，截至评价日，各县（区）账上仍存量</w:t>
      </w:r>
      <w:r>
        <w:rPr>
          <w:rFonts w:hint="eastAsia" w:hAnsi="仿宋"/>
          <w:color w:val="000000" w:themeColor="text1"/>
          <w:szCs w:val="30"/>
          <w:lang w:val="en-US" w:eastAsia="zh-CN"/>
          <w14:textFill>
            <w14:solidFill>
              <w14:schemeClr w14:val="tx1"/>
            </w14:solidFill>
          </w14:textFill>
        </w:rPr>
        <w:t>370.10</w:t>
      </w:r>
      <w:r>
        <w:rPr>
          <w:rFonts w:hint="eastAsia" w:hAnsi="仿宋"/>
          <w:color w:val="000000" w:themeColor="text1"/>
          <w:szCs w:val="30"/>
          <w14:textFill>
            <w14:solidFill>
              <w14:schemeClr w14:val="tx1"/>
            </w14:solidFill>
          </w14:textFill>
        </w:rPr>
        <w:t>万元项目资金，均为县扶贫部门财政资金沉淀。资金使用情况详见表2。</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危房改造D级拆除重建和整村推进方面，截至评价日，建档立卡贫困户和“直过民族”户D级危房拆除重建实际完成3928户，危改户数完成率86.63%，未完成4534户的任务量；3928户中验收合格3913户，验收合格率99.62% ，验收不合格15户均在易门县，其中14户建在基本农田，1户为C级危房，均不符合拆除重建相关要求和条件。</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“直过民族”整村推进实际完成53个，“直过民族”整村推进完成率100%，47个已完成审计验收，整村推进项目审计完成率88.68%，截至评价日，新平县6个整村推进项目仍在审计中。详见表7。</w:t>
      </w:r>
    </w:p>
    <w:p>
      <w:pPr>
        <w:widowControl/>
        <w:adjustRightInd w:val="0"/>
        <w:snapToGrid w:val="0"/>
        <w:jc w:val="center"/>
        <w:rPr>
          <w:rFonts w:ascii="黑体" w:hAnsi="黑体" w:eastAsia="黑体"/>
          <w:sz w:val="24"/>
          <w:szCs w:val="24"/>
        </w:rPr>
      </w:pPr>
      <w:r>
        <w:rPr>
          <w:rFonts w:hint="eastAsia" w:ascii="黑体" w:hAnsi="黑体" w:eastAsia="黑体"/>
          <w:sz w:val="24"/>
          <w:szCs w:val="24"/>
        </w:rPr>
        <w:t>表7  建档立卡贫困户和“直过民族”户以及支付“直过民族”整村推进</w:t>
      </w:r>
    </w:p>
    <w:p>
      <w:pPr>
        <w:widowControl/>
        <w:adjustRightInd w:val="0"/>
        <w:snapToGrid w:val="0"/>
        <w:jc w:val="center"/>
        <w:rPr>
          <w:rFonts w:ascii="黑体" w:hAnsi="黑体" w:eastAsia="黑体"/>
          <w:sz w:val="24"/>
          <w:szCs w:val="24"/>
        </w:rPr>
      </w:pPr>
      <w:r>
        <w:rPr>
          <w:rFonts w:hint="eastAsia" w:ascii="黑体" w:hAnsi="黑体" w:eastAsia="黑体"/>
          <w:sz w:val="24"/>
          <w:szCs w:val="24"/>
        </w:rPr>
        <w:t>改造户数验收审计情况表</w:t>
      </w:r>
    </w:p>
    <w:tbl>
      <w:tblPr>
        <w:tblStyle w:val="18"/>
        <w:tblW w:w="9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93"/>
        <w:gridCol w:w="1293"/>
        <w:gridCol w:w="1293"/>
        <w:gridCol w:w="1285"/>
        <w:gridCol w:w="1293"/>
        <w:gridCol w:w="1293"/>
        <w:gridCol w:w="1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Merge w:val="restart"/>
            <w:vAlign w:val="center"/>
          </w:tcPr>
          <w:p>
            <w:pPr>
              <w:widowControl/>
              <w:adjustRightInd w:val="0"/>
              <w:snapToGrid w:val="0"/>
              <w:jc w:val="center"/>
              <w:rPr>
                <w:rFonts w:ascii="宋体" w:hAnsi="宋体" w:eastAsia="宋体" w:cs="宋体"/>
                <w:b/>
                <w:bCs/>
                <w:sz w:val="21"/>
              </w:rPr>
            </w:pPr>
            <w:r>
              <w:rPr>
                <w:rFonts w:hint="eastAsia" w:ascii="宋体" w:hAnsi="宋体" w:eastAsia="宋体" w:cs="宋体"/>
                <w:b/>
                <w:bCs/>
                <w:sz w:val="21"/>
              </w:rPr>
              <w:t>县（区）</w:t>
            </w:r>
          </w:p>
        </w:tc>
        <w:tc>
          <w:tcPr>
            <w:tcW w:w="3871" w:type="dxa"/>
            <w:gridSpan w:val="3"/>
            <w:vAlign w:val="center"/>
          </w:tcPr>
          <w:p>
            <w:pPr>
              <w:widowControl/>
              <w:adjustRightInd w:val="0"/>
              <w:snapToGrid w:val="0"/>
              <w:jc w:val="center"/>
              <w:rPr>
                <w:rFonts w:ascii="宋体" w:hAnsi="宋体" w:eastAsia="宋体" w:cs="宋体"/>
                <w:b/>
                <w:bCs/>
                <w:sz w:val="21"/>
              </w:rPr>
            </w:pPr>
            <w:r>
              <w:rPr>
                <w:rFonts w:hint="eastAsia" w:ascii="宋体" w:hAnsi="宋体" w:eastAsia="宋体" w:cs="宋体"/>
                <w:b/>
                <w:bCs/>
                <w:sz w:val="21"/>
              </w:rPr>
              <w:t>危房改造</w:t>
            </w:r>
          </w:p>
        </w:tc>
        <w:tc>
          <w:tcPr>
            <w:tcW w:w="3879" w:type="dxa"/>
            <w:gridSpan w:val="3"/>
            <w:vAlign w:val="center"/>
          </w:tcPr>
          <w:p>
            <w:pPr>
              <w:widowControl/>
              <w:adjustRightInd w:val="0"/>
              <w:snapToGrid w:val="0"/>
              <w:jc w:val="center"/>
              <w:rPr>
                <w:rFonts w:ascii="宋体" w:hAnsi="宋体" w:eastAsia="宋体" w:cs="宋体"/>
                <w:b/>
                <w:bCs/>
                <w:sz w:val="21"/>
              </w:rPr>
            </w:pPr>
            <w:r>
              <w:rPr>
                <w:rFonts w:hint="eastAsia" w:ascii="宋体" w:hAnsi="宋体" w:eastAsia="宋体" w:cs="宋体"/>
                <w:b/>
                <w:bCs/>
                <w:sz w:val="21"/>
              </w:rPr>
              <w:t>整村推进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Merge w:val="continue"/>
            <w:vAlign w:val="center"/>
          </w:tcPr>
          <w:p>
            <w:pPr>
              <w:widowControl/>
              <w:adjustRightInd w:val="0"/>
              <w:snapToGrid w:val="0"/>
              <w:jc w:val="center"/>
              <w:rPr>
                <w:rFonts w:ascii="宋体" w:hAnsi="宋体" w:eastAsia="宋体" w:cs="宋体"/>
                <w:b/>
                <w:bCs/>
                <w:sz w:val="21"/>
              </w:rPr>
            </w:pPr>
          </w:p>
        </w:tc>
        <w:tc>
          <w:tcPr>
            <w:tcW w:w="1293" w:type="dxa"/>
            <w:vAlign w:val="center"/>
          </w:tcPr>
          <w:p>
            <w:pPr>
              <w:widowControl/>
              <w:adjustRightInd w:val="0"/>
              <w:snapToGrid w:val="0"/>
              <w:jc w:val="center"/>
              <w:rPr>
                <w:rFonts w:hint="eastAsia" w:ascii="宋体" w:hAnsi="宋体" w:eastAsia="宋体" w:cs="宋体"/>
                <w:b/>
                <w:bCs/>
                <w:sz w:val="21"/>
                <w:lang w:eastAsia="zh-CN"/>
              </w:rPr>
            </w:pPr>
            <w:r>
              <w:rPr>
                <w:rFonts w:hint="eastAsia" w:ascii="宋体" w:hAnsi="宋体" w:eastAsia="宋体" w:cs="宋体"/>
                <w:b/>
                <w:bCs/>
                <w:sz w:val="21"/>
              </w:rPr>
              <w:t>计划改造户数</w:t>
            </w:r>
            <w:r>
              <w:rPr>
                <w:rFonts w:hint="eastAsia" w:ascii="宋体" w:hAnsi="宋体" w:eastAsia="宋体" w:cs="宋体"/>
                <w:b/>
                <w:bCs/>
                <w:sz w:val="21"/>
                <w:lang w:eastAsia="zh-CN"/>
              </w:rPr>
              <w:t>（</w:t>
            </w:r>
            <w:r>
              <w:rPr>
                <w:rFonts w:hint="eastAsia" w:ascii="宋体" w:hAnsi="宋体" w:eastAsia="宋体" w:cs="宋体"/>
                <w:b/>
                <w:bCs/>
                <w:sz w:val="21"/>
                <w:lang w:val="en-US" w:eastAsia="zh-CN"/>
              </w:rPr>
              <w:t>户</w:t>
            </w:r>
            <w:r>
              <w:rPr>
                <w:rFonts w:hint="eastAsia" w:ascii="宋体" w:hAnsi="宋体" w:eastAsia="宋体" w:cs="宋体"/>
                <w:b/>
                <w:bCs/>
                <w:sz w:val="21"/>
                <w:lang w:eastAsia="zh-CN"/>
              </w:rPr>
              <w:t>）</w:t>
            </w:r>
          </w:p>
        </w:tc>
        <w:tc>
          <w:tcPr>
            <w:tcW w:w="1293" w:type="dxa"/>
            <w:vAlign w:val="center"/>
          </w:tcPr>
          <w:p>
            <w:pPr>
              <w:widowControl/>
              <w:adjustRightInd w:val="0"/>
              <w:snapToGrid w:val="0"/>
              <w:jc w:val="center"/>
              <w:rPr>
                <w:rFonts w:ascii="宋体" w:hAnsi="宋体" w:eastAsia="宋体" w:cs="宋体"/>
                <w:b/>
                <w:bCs/>
                <w:sz w:val="21"/>
              </w:rPr>
            </w:pPr>
            <w:r>
              <w:rPr>
                <w:rFonts w:hint="eastAsia" w:ascii="宋体" w:hAnsi="宋体" w:eastAsia="宋体" w:cs="宋体"/>
                <w:b/>
                <w:bCs/>
                <w:sz w:val="21"/>
              </w:rPr>
              <w:t>实际改造户数</w:t>
            </w:r>
            <w:r>
              <w:rPr>
                <w:rFonts w:hint="eastAsia" w:ascii="宋体" w:hAnsi="宋体" w:eastAsia="宋体" w:cs="宋体"/>
                <w:b/>
                <w:bCs/>
                <w:sz w:val="21"/>
                <w:lang w:eastAsia="zh-CN"/>
              </w:rPr>
              <w:t>（</w:t>
            </w:r>
            <w:r>
              <w:rPr>
                <w:rFonts w:hint="eastAsia" w:ascii="宋体" w:hAnsi="宋体" w:eastAsia="宋体" w:cs="宋体"/>
                <w:b/>
                <w:bCs/>
                <w:sz w:val="21"/>
                <w:lang w:val="en-US" w:eastAsia="zh-CN"/>
              </w:rPr>
              <w:t>户</w:t>
            </w:r>
            <w:r>
              <w:rPr>
                <w:rFonts w:hint="eastAsia" w:ascii="宋体" w:hAnsi="宋体" w:eastAsia="宋体" w:cs="宋体"/>
                <w:b/>
                <w:bCs/>
                <w:sz w:val="21"/>
                <w:lang w:eastAsia="zh-CN"/>
              </w:rPr>
              <w:t>）</w:t>
            </w:r>
          </w:p>
        </w:tc>
        <w:tc>
          <w:tcPr>
            <w:tcW w:w="1285" w:type="dxa"/>
            <w:vAlign w:val="center"/>
          </w:tcPr>
          <w:p>
            <w:pPr>
              <w:widowControl/>
              <w:adjustRightInd w:val="0"/>
              <w:snapToGrid w:val="0"/>
              <w:jc w:val="center"/>
              <w:rPr>
                <w:rFonts w:ascii="宋体" w:hAnsi="宋体" w:eastAsia="宋体" w:cs="宋体"/>
                <w:b/>
                <w:bCs/>
                <w:sz w:val="21"/>
              </w:rPr>
            </w:pPr>
            <w:r>
              <w:rPr>
                <w:rFonts w:hint="eastAsia" w:ascii="宋体" w:hAnsi="宋体" w:eastAsia="宋体" w:cs="宋体"/>
                <w:b/>
                <w:bCs/>
                <w:sz w:val="21"/>
              </w:rPr>
              <w:t>实际验收合格户数</w:t>
            </w:r>
            <w:r>
              <w:rPr>
                <w:rFonts w:hint="eastAsia" w:ascii="宋体" w:hAnsi="宋体" w:eastAsia="宋体" w:cs="宋体"/>
                <w:b/>
                <w:bCs/>
                <w:sz w:val="21"/>
                <w:lang w:eastAsia="zh-CN"/>
              </w:rPr>
              <w:t>（</w:t>
            </w:r>
            <w:r>
              <w:rPr>
                <w:rFonts w:hint="eastAsia" w:ascii="宋体" w:hAnsi="宋体" w:eastAsia="宋体" w:cs="宋体"/>
                <w:b/>
                <w:bCs/>
                <w:sz w:val="21"/>
                <w:lang w:val="en-US" w:eastAsia="zh-CN"/>
              </w:rPr>
              <w:t>户</w:t>
            </w:r>
            <w:r>
              <w:rPr>
                <w:rFonts w:hint="eastAsia" w:ascii="宋体" w:hAnsi="宋体" w:eastAsia="宋体" w:cs="宋体"/>
                <w:b/>
                <w:bCs/>
                <w:sz w:val="21"/>
                <w:lang w:eastAsia="zh-CN"/>
              </w:rPr>
              <w:t>）</w:t>
            </w:r>
          </w:p>
        </w:tc>
        <w:tc>
          <w:tcPr>
            <w:tcW w:w="1293" w:type="dxa"/>
            <w:vAlign w:val="center"/>
          </w:tcPr>
          <w:p>
            <w:pPr>
              <w:widowControl/>
              <w:adjustRightInd w:val="0"/>
              <w:snapToGrid w:val="0"/>
              <w:jc w:val="center"/>
              <w:rPr>
                <w:b/>
                <w:bCs/>
              </w:rPr>
            </w:pPr>
            <w:r>
              <w:rPr>
                <w:rFonts w:hint="eastAsia" w:ascii="宋体" w:hAnsi="宋体" w:eastAsia="宋体" w:cs="宋体"/>
                <w:b/>
                <w:bCs/>
                <w:sz w:val="21"/>
              </w:rPr>
              <w:t>直过民族整村推进计划完成数</w:t>
            </w:r>
            <w:r>
              <w:rPr>
                <w:rFonts w:hint="eastAsia" w:ascii="宋体" w:hAnsi="宋体" w:eastAsia="宋体" w:cs="宋体"/>
                <w:b/>
                <w:bCs/>
                <w:sz w:val="21"/>
                <w:lang w:eastAsia="zh-CN"/>
              </w:rPr>
              <w:t>（</w:t>
            </w:r>
            <w:r>
              <w:rPr>
                <w:rFonts w:hint="eastAsia" w:ascii="宋体" w:hAnsi="宋体" w:eastAsia="宋体" w:cs="宋体"/>
                <w:b/>
                <w:bCs/>
                <w:sz w:val="21"/>
                <w:lang w:val="en-US" w:eastAsia="zh-CN"/>
              </w:rPr>
              <w:t>个</w:t>
            </w:r>
            <w:r>
              <w:rPr>
                <w:rFonts w:hint="eastAsia" w:ascii="宋体" w:hAnsi="宋体" w:eastAsia="宋体" w:cs="宋体"/>
                <w:b/>
                <w:bCs/>
                <w:sz w:val="21"/>
                <w:lang w:eastAsia="zh-CN"/>
              </w:rPr>
              <w:t>）</w:t>
            </w:r>
          </w:p>
        </w:tc>
        <w:tc>
          <w:tcPr>
            <w:tcW w:w="1293" w:type="dxa"/>
            <w:vAlign w:val="center"/>
          </w:tcPr>
          <w:p>
            <w:pPr>
              <w:widowControl/>
              <w:adjustRightInd w:val="0"/>
              <w:snapToGrid w:val="0"/>
              <w:jc w:val="center"/>
              <w:rPr>
                <w:b/>
                <w:bCs/>
              </w:rPr>
            </w:pPr>
            <w:r>
              <w:rPr>
                <w:rFonts w:hint="eastAsia" w:ascii="宋体" w:hAnsi="宋体" w:eastAsia="宋体" w:cs="宋体"/>
                <w:b/>
                <w:bCs/>
                <w:sz w:val="21"/>
              </w:rPr>
              <w:t>直过民族整村推进实际完成数</w:t>
            </w:r>
            <w:r>
              <w:rPr>
                <w:rFonts w:hint="eastAsia" w:ascii="宋体" w:hAnsi="宋体" w:eastAsia="宋体" w:cs="宋体"/>
                <w:b/>
                <w:bCs/>
                <w:sz w:val="21"/>
                <w:lang w:eastAsia="zh-CN"/>
              </w:rPr>
              <w:t>（</w:t>
            </w:r>
            <w:r>
              <w:rPr>
                <w:rFonts w:hint="eastAsia" w:ascii="宋体" w:hAnsi="宋体" w:eastAsia="宋体" w:cs="宋体"/>
                <w:b/>
                <w:bCs/>
                <w:sz w:val="21"/>
                <w:lang w:val="en-US" w:eastAsia="zh-CN"/>
              </w:rPr>
              <w:t>个</w:t>
            </w:r>
            <w:r>
              <w:rPr>
                <w:rFonts w:hint="eastAsia" w:ascii="宋体" w:hAnsi="宋体" w:eastAsia="宋体" w:cs="宋体"/>
                <w:b/>
                <w:bCs/>
                <w:sz w:val="21"/>
                <w:lang w:eastAsia="zh-CN"/>
              </w:rPr>
              <w:t>）</w:t>
            </w:r>
          </w:p>
        </w:tc>
        <w:tc>
          <w:tcPr>
            <w:tcW w:w="1293" w:type="dxa"/>
            <w:vAlign w:val="center"/>
          </w:tcPr>
          <w:p>
            <w:pPr>
              <w:widowControl/>
              <w:adjustRightInd w:val="0"/>
              <w:snapToGrid w:val="0"/>
              <w:jc w:val="center"/>
              <w:rPr>
                <w:b/>
                <w:bCs/>
              </w:rPr>
            </w:pPr>
            <w:r>
              <w:rPr>
                <w:rFonts w:hint="eastAsia" w:ascii="宋体" w:hAnsi="宋体" w:eastAsia="宋体" w:cs="宋体"/>
                <w:b/>
                <w:bCs/>
                <w:sz w:val="21"/>
              </w:rPr>
              <w:t>整村推进已完成审计数</w:t>
            </w:r>
            <w:r>
              <w:rPr>
                <w:rFonts w:hint="eastAsia" w:ascii="宋体" w:hAnsi="宋体" w:eastAsia="宋体" w:cs="宋体"/>
                <w:b/>
                <w:bCs/>
                <w:sz w:val="21"/>
                <w:lang w:eastAsia="zh-CN"/>
              </w:rPr>
              <w:t>（</w:t>
            </w:r>
            <w:r>
              <w:rPr>
                <w:rFonts w:hint="eastAsia" w:ascii="宋体" w:hAnsi="宋体" w:eastAsia="宋体" w:cs="宋体"/>
                <w:b/>
                <w:bCs/>
                <w:sz w:val="21"/>
                <w:lang w:val="en-US" w:eastAsia="zh-CN"/>
              </w:rPr>
              <w:t>个</w:t>
            </w:r>
            <w:r>
              <w:rPr>
                <w:rFonts w:hint="eastAsia" w:ascii="宋体" w:hAnsi="宋体" w:eastAsia="宋体" w:cs="宋体"/>
                <w:b/>
                <w:bCs/>
                <w:sz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b/>
                <w:bCs/>
                <w:sz w:val="21"/>
              </w:rPr>
            </w:pPr>
            <w:r>
              <w:rPr>
                <w:rFonts w:hint="eastAsia" w:ascii="宋体" w:hAnsi="宋体" w:eastAsia="宋体" w:cs="宋体"/>
                <w:b/>
                <w:bCs/>
                <w:color w:val="000000"/>
                <w:kern w:val="0"/>
                <w:sz w:val="21"/>
                <w:lang w:bidi="ar"/>
              </w:rPr>
              <w:t>玉溪市</w:t>
            </w:r>
          </w:p>
        </w:tc>
        <w:tc>
          <w:tcPr>
            <w:tcW w:w="1293" w:type="dxa"/>
            <w:vAlign w:val="center"/>
          </w:tcPr>
          <w:p>
            <w:pPr>
              <w:widowControl/>
              <w:jc w:val="center"/>
              <w:textAlignment w:val="center"/>
              <w:rPr>
                <w:rFonts w:ascii="宋体" w:hAnsi="宋体" w:eastAsia="宋体" w:cs="宋体"/>
                <w:b/>
                <w:bCs/>
                <w:sz w:val="21"/>
              </w:rPr>
            </w:pPr>
            <w:r>
              <w:rPr>
                <w:rFonts w:hint="eastAsia" w:ascii="宋体" w:hAnsi="宋体" w:eastAsia="宋体" w:cs="宋体"/>
                <w:b/>
                <w:bCs/>
                <w:color w:val="000000"/>
                <w:kern w:val="0"/>
                <w:sz w:val="21"/>
                <w:lang w:bidi="ar"/>
              </w:rPr>
              <w:t>4534</w:t>
            </w:r>
          </w:p>
        </w:tc>
        <w:tc>
          <w:tcPr>
            <w:tcW w:w="1293" w:type="dxa"/>
            <w:vAlign w:val="center"/>
          </w:tcPr>
          <w:p>
            <w:pPr>
              <w:widowControl/>
              <w:jc w:val="center"/>
              <w:textAlignment w:val="center"/>
              <w:rPr>
                <w:rFonts w:ascii="宋体" w:hAnsi="宋体" w:eastAsia="宋体" w:cs="宋体"/>
                <w:b/>
                <w:bCs/>
                <w:sz w:val="21"/>
              </w:rPr>
            </w:pPr>
            <w:r>
              <w:rPr>
                <w:rFonts w:hint="eastAsia" w:ascii="宋体" w:hAnsi="宋体" w:eastAsia="宋体" w:cs="宋体"/>
                <w:b/>
                <w:bCs/>
                <w:color w:val="000000"/>
                <w:kern w:val="0"/>
                <w:sz w:val="21"/>
                <w:lang w:bidi="ar"/>
              </w:rPr>
              <w:t>3928</w:t>
            </w:r>
          </w:p>
        </w:tc>
        <w:tc>
          <w:tcPr>
            <w:tcW w:w="1285" w:type="dxa"/>
            <w:vAlign w:val="center"/>
          </w:tcPr>
          <w:p>
            <w:pPr>
              <w:widowControl/>
              <w:jc w:val="center"/>
              <w:textAlignment w:val="center"/>
              <w:rPr>
                <w:rFonts w:ascii="宋体" w:hAnsi="宋体" w:eastAsia="宋体" w:cs="宋体"/>
                <w:b/>
                <w:bCs/>
                <w:color w:val="000000"/>
                <w:kern w:val="0"/>
                <w:sz w:val="21"/>
                <w:lang w:bidi="ar"/>
              </w:rPr>
            </w:pPr>
            <w:r>
              <w:rPr>
                <w:rFonts w:hint="eastAsia" w:ascii="宋体" w:hAnsi="宋体" w:eastAsia="宋体" w:cs="宋体"/>
                <w:b/>
                <w:bCs/>
                <w:color w:val="000000"/>
                <w:kern w:val="0"/>
                <w:sz w:val="21"/>
                <w:lang w:bidi="ar"/>
              </w:rPr>
              <w:t>3913</w:t>
            </w:r>
          </w:p>
        </w:tc>
        <w:tc>
          <w:tcPr>
            <w:tcW w:w="1293" w:type="dxa"/>
            <w:vAlign w:val="center"/>
          </w:tcPr>
          <w:p>
            <w:pPr>
              <w:widowControl/>
              <w:jc w:val="center"/>
              <w:textAlignment w:val="center"/>
            </w:pPr>
            <w:r>
              <w:rPr>
                <w:rFonts w:hint="eastAsia" w:ascii="宋体" w:hAnsi="宋体" w:eastAsia="宋体" w:cs="宋体"/>
                <w:b/>
                <w:bCs/>
                <w:color w:val="000000"/>
                <w:kern w:val="0"/>
                <w:sz w:val="21"/>
                <w:lang w:bidi="ar"/>
              </w:rPr>
              <w:t>53</w:t>
            </w:r>
          </w:p>
        </w:tc>
        <w:tc>
          <w:tcPr>
            <w:tcW w:w="1293" w:type="dxa"/>
            <w:vAlign w:val="center"/>
          </w:tcPr>
          <w:p>
            <w:pPr>
              <w:widowControl/>
              <w:jc w:val="center"/>
              <w:textAlignment w:val="center"/>
            </w:pPr>
            <w:r>
              <w:rPr>
                <w:rFonts w:hint="eastAsia" w:ascii="宋体" w:hAnsi="宋体" w:eastAsia="宋体" w:cs="宋体"/>
                <w:b/>
                <w:bCs/>
                <w:color w:val="000000"/>
                <w:kern w:val="0"/>
                <w:sz w:val="21"/>
                <w:lang w:bidi="ar"/>
              </w:rPr>
              <w:t>53</w:t>
            </w:r>
          </w:p>
        </w:tc>
        <w:tc>
          <w:tcPr>
            <w:tcW w:w="1293" w:type="dxa"/>
            <w:vAlign w:val="center"/>
          </w:tcPr>
          <w:p>
            <w:pPr>
              <w:widowControl/>
              <w:jc w:val="center"/>
              <w:textAlignment w:val="center"/>
            </w:pPr>
            <w:r>
              <w:rPr>
                <w:rFonts w:hint="eastAsia" w:ascii="宋体" w:hAnsi="宋体" w:eastAsia="宋体" w:cs="宋体"/>
                <w:b/>
                <w:bCs/>
                <w:color w:val="000000"/>
                <w:kern w:val="0"/>
                <w:sz w:val="21"/>
                <w:lang w:bidi="ar"/>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易门</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123</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168</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153</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通海</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256</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174</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174</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华宁</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540</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504</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504</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澄江</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211</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157</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157</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红塔</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250</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75</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75</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江川</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693</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536</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536</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峨山</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230</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202</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202</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元江</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674</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606</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606</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7</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7</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新平</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1557</w:t>
            </w:r>
          </w:p>
        </w:tc>
        <w:tc>
          <w:tcPr>
            <w:tcW w:w="1293" w:type="dxa"/>
            <w:vAlign w:val="center"/>
          </w:tcPr>
          <w:p>
            <w:pPr>
              <w:widowControl/>
              <w:jc w:val="center"/>
              <w:textAlignment w:val="center"/>
              <w:rPr>
                <w:rFonts w:ascii="宋体" w:hAnsi="宋体" w:eastAsia="宋体" w:cs="宋体"/>
                <w:sz w:val="21"/>
              </w:rPr>
            </w:pPr>
            <w:r>
              <w:rPr>
                <w:rFonts w:hint="eastAsia" w:ascii="宋体" w:hAnsi="宋体" w:eastAsia="宋体" w:cs="宋体"/>
                <w:color w:val="000000"/>
                <w:kern w:val="0"/>
                <w:sz w:val="21"/>
                <w:lang w:bidi="ar"/>
              </w:rPr>
              <w:t>1506</w:t>
            </w:r>
          </w:p>
        </w:tc>
        <w:tc>
          <w:tcPr>
            <w:tcW w:w="1285" w:type="dxa"/>
            <w:vAlign w:val="center"/>
          </w:tcPr>
          <w:p>
            <w:pPr>
              <w:widowControl/>
              <w:jc w:val="center"/>
              <w:textAlignment w:val="center"/>
              <w:rPr>
                <w:rFonts w:ascii="宋体" w:hAnsi="宋体" w:eastAsia="宋体" w:cs="宋体"/>
                <w:color w:val="000000"/>
                <w:kern w:val="0"/>
                <w:sz w:val="21"/>
                <w:lang w:bidi="ar"/>
              </w:rPr>
            </w:pPr>
            <w:r>
              <w:rPr>
                <w:rFonts w:hint="eastAsia" w:ascii="宋体" w:hAnsi="宋体" w:eastAsia="宋体" w:cs="宋体"/>
                <w:color w:val="000000"/>
                <w:kern w:val="0"/>
                <w:sz w:val="21"/>
                <w:lang w:bidi="ar"/>
              </w:rPr>
              <w:t>1506</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46</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46</w:t>
            </w:r>
          </w:p>
        </w:tc>
        <w:tc>
          <w:tcPr>
            <w:tcW w:w="1293" w:type="dxa"/>
            <w:vAlign w:val="center"/>
          </w:tcPr>
          <w:p>
            <w:pPr>
              <w:widowControl/>
              <w:jc w:val="center"/>
              <w:textAlignment w:val="center"/>
            </w:pPr>
            <w:r>
              <w:rPr>
                <w:rFonts w:hint="eastAsia" w:ascii="宋体" w:hAnsi="宋体" w:eastAsia="宋体" w:cs="宋体"/>
                <w:color w:val="000000"/>
                <w:kern w:val="0"/>
                <w:sz w:val="21"/>
                <w:lang w:bidi="ar"/>
              </w:rPr>
              <w:t>40</w:t>
            </w:r>
          </w:p>
        </w:tc>
      </w:tr>
    </w:tbl>
    <w:p>
      <w:pPr>
        <w:widowControl/>
        <w:adjustRightInd w:val="0"/>
        <w:snapToGrid w:val="0"/>
        <w:jc w:val="center"/>
        <w:rPr>
          <w:rFonts w:ascii="黑体" w:hAnsi="黑体" w:eastAsia="黑体"/>
          <w:sz w:val="24"/>
          <w:szCs w:val="24"/>
        </w:rPr>
      </w:pP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2.产出成本</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产出成本指标满分4分，综合评价得分为1.82分，得分率45.50%。主要对建房面积控制等1个指标进行评价。本项目D级拆除重建验收合格的3913户中，危房改造总面积249789.07㎡，面积超标627户，超标面积共计14765.19㎡；另外，澄江县户均建房面积为63.54㎡（5782/91=63.54㎡），未达到1-3人户户均不超过60㎡的要求。详见表9。</w:t>
      </w:r>
    </w:p>
    <w:p>
      <w:pPr>
        <w:widowControl/>
        <w:adjustRightInd w:val="0"/>
        <w:snapToGrid w:val="0"/>
        <w:jc w:val="center"/>
        <w:rPr>
          <w:rFonts w:ascii="黑体" w:hAnsi="黑体" w:eastAsia="黑体"/>
          <w:sz w:val="24"/>
          <w:szCs w:val="24"/>
        </w:rPr>
      </w:pPr>
    </w:p>
    <w:p>
      <w:pPr>
        <w:widowControl/>
        <w:adjustRightInd w:val="0"/>
        <w:snapToGrid w:val="0"/>
        <w:jc w:val="center"/>
        <w:rPr>
          <w:rFonts w:hAnsi="仿宋"/>
          <w:color w:val="000000" w:themeColor="text1"/>
          <w:szCs w:val="30"/>
          <w14:textFill>
            <w14:solidFill>
              <w14:schemeClr w14:val="tx1"/>
            </w14:solidFill>
          </w14:textFill>
        </w:rPr>
      </w:pPr>
      <w:r>
        <w:rPr>
          <w:rFonts w:hint="eastAsia" w:ascii="黑体" w:hAnsi="黑体" w:eastAsia="黑体"/>
          <w:sz w:val="24"/>
          <w:szCs w:val="24"/>
        </w:rPr>
        <w:t>表9  建档立卡贫困户和“直过民族”户危房改造面积统计情况表情况表</w:t>
      </w:r>
    </w:p>
    <w:tbl>
      <w:tblPr>
        <w:tblStyle w:val="17"/>
        <w:tblW w:w="87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38"/>
        <w:gridCol w:w="746"/>
        <w:gridCol w:w="1094"/>
        <w:gridCol w:w="915"/>
        <w:gridCol w:w="915"/>
        <w:gridCol w:w="915"/>
        <w:gridCol w:w="918"/>
        <w:gridCol w:w="918"/>
        <w:gridCol w:w="915"/>
        <w:gridCol w:w="9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60"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序号</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市县</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危房改造总面积（㎡）</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1-3人户数（户）</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3人以上户数（户）</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3人以上户人口数（人）</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1-3人户数面积（㎡）</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3人以上户数面积（㎡）</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面积超标户数（户）</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超标面积（㎡）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55"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玉溪市</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249789.07</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2010</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1903</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8512</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105195.94</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144593.13</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627</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b/>
                <w:color w:val="000000"/>
                <w:sz w:val="18"/>
                <w:szCs w:val="18"/>
              </w:rPr>
            </w:pPr>
            <w:r>
              <w:rPr>
                <w:rFonts w:hint="eastAsia" w:ascii="宋体" w:hAnsi="宋体" w:eastAsia="宋体" w:cs="宋体"/>
                <w:b/>
                <w:color w:val="000000"/>
                <w:kern w:val="0"/>
                <w:sz w:val="18"/>
                <w:szCs w:val="18"/>
                <w:lang w:bidi="ar"/>
              </w:rPr>
              <w:t>14765.19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5"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易门</w:t>
            </w:r>
            <w:r>
              <w:rPr>
                <w:rFonts w:hint="eastAsia" w:ascii="宋体" w:hAnsi="宋体" w:eastAsia="宋体" w:cs="宋体"/>
                <w:color w:val="000000"/>
                <w:kern w:val="0"/>
                <w:sz w:val="18"/>
                <w:szCs w:val="18"/>
                <w:vertAlign w:val="superscript"/>
                <w:lang w:bidi="ar"/>
              </w:rPr>
              <w:t>注</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8804.83</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79</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74</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191</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3761.18</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5043.65</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127.54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5"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通海</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8150.71</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112</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62</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275</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4509.9</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3640.81</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0"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华宁</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31003.54</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281</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223</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998</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15112.85</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15890.69</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59</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737.58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5"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澄江</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10156</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91</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66</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282</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5782</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4374</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0"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746" w:type="dxa"/>
            <w:shd w:val="clear" w:color="auto" w:fill="FFFFFF"/>
            <w:tcMar>
              <w:top w:w="15" w:type="dxa"/>
              <w:left w:w="15" w:type="dxa"/>
              <w:right w:w="15" w:type="dxa"/>
            </w:tcMar>
            <w:vAlign w:val="center"/>
          </w:tcPr>
          <w:p>
            <w:pPr>
              <w:widowControl/>
              <w:adjustRightInd w:val="0"/>
              <w:snapToGrid w:val="0"/>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红塔</w:t>
            </w:r>
            <w:r>
              <w:rPr>
                <w:rFonts w:hint="eastAsia" w:ascii="宋体" w:hAnsi="宋体" w:eastAsia="宋体" w:cs="宋体"/>
                <w:color w:val="000000"/>
                <w:kern w:val="0"/>
                <w:sz w:val="18"/>
                <w:szCs w:val="18"/>
                <w:vertAlign w:val="superscript"/>
                <w:lang w:bidi="ar"/>
              </w:rPr>
              <w:t>注</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未提供</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59</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69</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未提供</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未提供</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未提供</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未提供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0"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江川</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34414.54</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249</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287</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1253</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13424.87</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20989.67</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40</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245.28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5" w:hRule="atLeast"/>
          <w:jc w:val="center"/>
        </w:trPr>
        <w:tc>
          <w:tcPr>
            <w:tcW w:w="538"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746"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峨山</w:t>
            </w:r>
          </w:p>
        </w:tc>
        <w:tc>
          <w:tcPr>
            <w:tcW w:w="1094"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10618.98</w:t>
            </w:r>
          </w:p>
        </w:tc>
        <w:tc>
          <w:tcPr>
            <w:tcW w:w="91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133</w:t>
            </w:r>
          </w:p>
        </w:tc>
        <w:tc>
          <w:tcPr>
            <w:tcW w:w="915" w:type="dxa"/>
            <w:shd w:val="clear" w:color="auto" w:fill="auto"/>
            <w:noWrap/>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69</w:t>
            </w:r>
          </w:p>
        </w:tc>
        <w:tc>
          <w:tcPr>
            <w:tcW w:w="91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317</w:t>
            </w:r>
          </w:p>
        </w:tc>
        <w:tc>
          <w:tcPr>
            <w:tcW w:w="918"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5640.95</w:t>
            </w:r>
          </w:p>
        </w:tc>
        <w:tc>
          <w:tcPr>
            <w:tcW w:w="918"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4978.03</w:t>
            </w:r>
          </w:p>
        </w:tc>
        <w:tc>
          <w:tcPr>
            <w:tcW w:w="915"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w:t>
            </w:r>
          </w:p>
        </w:tc>
        <w:tc>
          <w:tcPr>
            <w:tcW w:w="916" w:type="dxa"/>
            <w:shd w:val="clear" w:color="auto" w:fill="auto"/>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73.46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9</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元江</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42789.88</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280</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326</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1559</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15846.11</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26943.77</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116</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2266.22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0" w:hRule="atLeast"/>
          <w:jc w:val="center"/>
        </w:trPr>
        <w:tc>
          <w:tcPr>
            <w:tcW w:w="53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w:t>
            </w:r>
          </w:p>
        </w:tc>
        <w:tc>
          <w:tcPr>
            <w:tcW w:w="74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新平</w:t>
            </w:r>
          </w:p>
        </w:tc>
        <w:tc>
          <w:tcPr>
            <w:tcW w:w="1094"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103850.59</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726</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780</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3568</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41118.08</w:t>
            </w:r>
          </w:p>
        </w:tc>
        <w:tc>
          <w:tcPr>
            <w:tcW w:w="918"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62732.51</w:t>
            </w:r>
          </w:p>
        </w:tc>
        <w:tc>
          <w:tcPr>
            <w:tcW w:w="915"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333</w:t>
            </w:r>
          </w:p>
        </w:tc>
        <w:tc>
          <w:tcPr>
            <w:tcW w:w="916" w:type="dxa"/>
            <w:shd w:val="clear" w:color="auto" w:fill="FFFFFF"/>
            <w:tcMar>
              <w:top w:w="15" w:type="dxa"/>
              <w:left w:w="15" w:type="dxa"/>
              <w:right w:w="15" w:type="dxa"/>
            </w:tcMar>
            <w:vAlign w:val="center"/>
          </w:tcPr>
          <w:p>
            <w:pPr>
              <w:widowControl/>
              <w:jc w:val="center"/>
              <w:textAlignment w:val="center"/>
              <w:rPr>
                <w:rFonts w:ascii="宋体" w:hAnsi="宋体" w:eastAsia="宋体" w:cs="宋体"/>
                <w:color w:val="000000"/>
                <w:sz w:val="18"/>
                <w:szCs w:val="18"/>
              </w:rPr>
            </w:pPr>
            <w:r>
              <w:rPr>
                <w:rFonts w:hint="eastAsia" w:ascii="宋体" w:hAnsi="宋体" w:eastAsia="宋体" w:cs="宋体"/>
                <w:color w:val="000000"/>
                <w:kern w:val="0"/>
                <w:sz w:val="18"/>
                <w:szCs w:val="18"/>
                <w:lang w:bidi="ar"/>
              </w:rPr>
              <w:t>10821.11</w:t>
            </w:r>
          </w:p>
        </w:tc>
      </w:tr>
    </w:tbl>
    <w:p>
      <w:pPr>
        <w:adjustRightInd w:val="0"/>
        <w:snapToGrid w:val="0"/>
        <w:ind w:firstLine="390" w:firstLineChars="200"/>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注：1.易门县实际改造168户，其中14户为建设在基本农田中，1户为C级危房加固修缮，15户不符合兑付条件，未兑付补助资金；</w:t>
      </w:r>
    </w:p>
    <w:p>
      <w:pPr>
        <w:adjustRightInd w:val="0"/>
        <w:snapToGrid w:val="0"/>
        <w:ind w:firstLine="780" w:firstLineChars="400"/>
        <w:rPr>
          <w:rFonts w:ascii="宋体" w:hAnsi="宋体" w:eastAsia="宋体" w:cs="宋体"/>
          <w:color w:val="000000" w:themeColor="text1"/>
          <w:sz w:val="18"/>
          <w:szCs w:val="18"/>
          <w14:textFill>
            <w14:solidFill>
              <w14:schemeClr w14:val="tx1"/>
            </w14:solidFill>
          </w14:textFill>
        </w:rPr>
      </w:pPr>
      <w:r>
        <w:rPr>
          <w:rFonts w:hint="eastAsia" w:ascii="宋体" w:hAnsi="宋体" w:eastAsia="宋体" w:cs="宋体"/>
          <w:color w:val="000000" w:themeColor="text1"/>
          <w:sz w:val="18"/>
          <w:szCs w:val="18"/>
          <w14:textFill>
            <w14:solidFill>
              <w14:schemeClr w14:val="tx1"/>
            </w14:solidFill>
          </w14:textFill>
        </w:rPr>
        <w:t>2.截至评价日，红塔区扶贫办未向评价组提供房屋建设面积情况。</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3.产出时效</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产出时效指标满分2分，综合评价得分为1.85分，得分率92.50%。主要对资金到村到户及时率等1个指标进行评价，主要考核应发放至村镇、农户等末端贫困人口的补助资金是否按照相关规定和标准足额及时实施。截至评价日，危房改造D级拆除重建实际使用资金15,259.19万元，资金兑付到户15,015.29万元，资金到村到户及时率98.40%。易门县有238.9万元未实际兑付至农户，项目资金仍在乡镇财政，待兑付资料准备齐全后兑付。澄江县有1户5万元未兑付到农户，该户为2019年实施拆除重建项目，待项目实施完成后兑付。详见表10。</w:t>
      </w:r>
    </w:p>
    <w:p>
      <w:pPr>
        <w:adjustRightInd w:val="0"/>
        <w:snapToGrid w:val="0"/>
        <w:ind w:firstLine="510" w:firstLineChars="200"/>
        <w:rPr>
          <w:rFonts w:ascii="黑体" w:hAnsi="黑体" w:eastAsia="黑体"/>
          <w:sz w:val="24"/>
          <w:szCs w:val="24"/>
        </w:rPr>
      </w:pPr>
    </w:p>
    <w:p>
      <w:pPr>
        <w:adjustRightInd w:val="0"/>
        <w:snapToGrid w:val="0"/>
        <w:ind w:firstLine="510" w:firstLineChars="200"/>
        <w:rPr>
          <w:rFonts w:hint="eastAsia" w:ascii="黑体" w:hAnsi="黑体" w:eastAsia="黑体"/>
          <w:sz w:val="24"/>
          <w:szCs w:val="24"/>
        </w:rPr>
      </w:pPr>
    </w:p>
    <w:p>
      <w:pPr>
        <w:adjustRightInd w:val="0"/>
        <w:snapToGrid w:val="0"/>
        <w:ind w:firstLine="510" w:firstLineChars="200"/>
        <w:rPr>
          <w:rFonts w:ascii="黑体" w:hAnsi="黑体" w:eastAsia="黑体"/>
          <w:sz w:val="24"/>
          <w:szCs w:val="24"/>
        </w:rPr>
      </w:pPr>
      <w:r>
        <w:rPr>
          <w:rFonts w:hint="eastAsia" w:ascii="黑体" w:hAnsi="黑体" w:eastAsia="黑体"/>
          <w:sz w:val="24"/>
          <w:szCs w:val="24"/>
        </w:rPr>
        <w:t>表10  建档立卡贫困户和“直过民族”户危房改造资金兑付到户统计表</w:t>
      </w:r>
    </w:p>
    <w:p>
      <w:pPr>
        <w:adjustRightInd w:val="0"/>
        <w:snapToGrid w:val="0"/>
        <w:ind w:firstLine="450" w:firstLineChars="200"/>
        <w:jc w:val="right"/>
        <w:rPr>
          <w:rFonts w:ascii="黑体" w:hAnsi="黑体" w:eastAsia="黑体"/>
          <w:sz w:val="21"/>
        </w:rPr>
      </w:pPr>
      <w:r>
        <w:rPr>
          <w:rFonts w:hint="eastAsia" w:ascii="黑体" w:hAnsi="黑体" w:eastAsia="黑体"/>
          <w:sz w:val="21"/>
        </w:rPr>
        <w:t>单位：万元</w:t>
      </w:r>
    </w:p>
    <w:tbl>
      <w:tblPr>
        <w:tblStyle w:val="18"/>
        <w:tblpPr w:leftFromText="180" w:rightFromText="180" w:vertAnchor="text" w:horzAnchor="page" w:tblpX="1687" w:tblpY="158"/>
        <w:tblOverlap w:val="never"/>
        <w:tblW w:w="89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245"/>
        <w:gridCol w:w="2458"/>
        <w:gridCol w:w="2070"/>
        <w:gridCol w:w="24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732" w:type="dxa"/>
            <w:vAlign w:val="center"/>
          </w:tcPr>
          <w:p>
            <w:pPr>
              <w:widowControl/>
              <w:adjustRightInd w:val="0"/>
              <w:snapToGrid w:val="0"/>
              <w:textAlignment w:val="center"/>
              <w:rPr>
                <w:rFonts w:ascii="宋体" w:hAnsi="宋体" w:eastAsia="宋体" w:cs="宋体"/>
                <w:b/>
                <w:color w:val="000000"/>
                <w:kern w:val="0"/>
                <w:sz w:val="21"/>
                <w:lang w:bidi="ar"/>
              </w:rPr>
            </w:pPr>
            <w:bookmarkStart w:id="119" w:name="_Toc518894408"/>
            <w:bookmarkStart w:id="120" w:name="_Toc13127677"/>
            <w:bookmarkStart w:id="121" w:name="_Toc528165044"/>
            <w:r>
              <w:rPr>
                <w:rFonts w:hint="eastAsia" w:ascii="宋体" w:hAnsi="宋体" w:eastAsia="宋体" w:cs="宋体"/>
                <w:b/>
                <w:color w:val="000000"/>
                <w:kern w:val="0"/>
                <w:sz w:val="21"/>
                <w:lang w:bidi="ar"/>
              </w:rPr>
              <w:t>序号</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县区</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危房改造实际资金使用</w:t>
            </w:r>
          </w:p>
        </w:tc>
        <w:tc>
          <w:tcPr>
            <w:tcW w:w="2070" w:type="dxa"/>
            <w:vAlign w:val="center"/>
          </w:tcPr>
          <w:p>
            <w:pPr>
              <w:widowControl/>
              <w:adjustRightInd w:val="0"/>
              <w:snapToGrid w:val="0"/>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资金兑付到户金额</w:t>
            </w:r>
          </w:p>
        </w:tc>
        <w:tc>
          <w:tcPr>
            <w:tcW w:w="2447" w:type="dxa"/>
            <w:vAlign w:val="center"/>
          </w:tcPr>
          <w:p>
            <w:pPr>
              <w:widowControl/>
              <w:adjustRightInd w:val="0"/>
              <w:snapToGrid w:val="0"/>
              <w:jc w:val="center"/>
              <w:textAlignment w:val="center"/>
              <w:rPr>
                <w:rFonts w:ascii="宋体" w:hAnsi="宋体" w:eastAsia="宋体" w:cs="宋体"/>
                <w:b/>
                <w:color w:val="000000"/>
                <w:kern w:val="0"/>
                <w:sz w:val="21"/>
                <w:lang w:bidi="ar"/>
              </w:rPr>
            </w:pPr>
            <w:r>
              <w:rPr>
                <w:rFonts w:hint="eastAsia" w:ascii="宋体" w:hAnsi="宋体" w:eastAsia="宋体" w:cs="宋体"/>
                <w:b/>
                <w:color w:val="000000"/>
                <w:kern w:val="0"/>
                <w:sz w:val="21"/>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1</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
                <w:color w:val="000000"/>
                <w:kern w:val="0"/>
                <w:sz w:val="21"/>
                <w:lang w:bidi="ar"/>
              </w:rPr>
              <w:t>玉溪市合计</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
                <w:color w:val="000000"/>
                <w:kern w:val="0"/>
                <w:sz w:val="21"/>
                <w:lang w:bidi="ar"/>
              </w:rPr>
              <w:t>15259.19</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
                <w:color w:val="000000"/>
                <w:kern w:val="0"/>
                <w:sz w:val="21"/>
                <w:lang w:bidi="ar"/>
              </w:rPr>
              <w:t>15015.29</w:t>
            </w:r>
          </w:p>
        </w:tc>
        <w:tc>
          <w:tcPr>
            <w:tcW w:w="2447"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2</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红塔区</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268.52</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268.52</w:t>
            </w:r>
          </w:p>
        </w:tc>
        <w:tc>
          <w:tcPr>
            <w:tcW w:w="2447"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3</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江川区</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2010</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2010</w:t>
            </w:r>
          </w:p>
        </w:tc>
        <w:tc>
          <w:tcPr>
            <w:tcW w:w="2447"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4</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澄江县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790</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785</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有1户未兑付到农户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5</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通海县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542.98</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542.98</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6</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华宁县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2501</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2501</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7</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易门县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549.98</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311.08</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238.9万元未兑付至农户，资金仍在乡镇，待资料准备齐全后兑付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8</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峨山县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598.4</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598.4</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9</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新平县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color w:val="000000" w:themeColor="text1"/>
                <w:sz w:val="21"/>
                <w14:textFill>
                  <w14:solidFill>
                    <w14:schemeClr w14:val="tx1"/>
                  </w14:solidFill>
                </w14:textFill>
              </w:rPr>
              <w:t>5090.91</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5090.91</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2" w:type="dxa"/>
            <w:vAlign w:val="center"/>
          </w:tcPr>
          <w:p>
            <w:pPr>
              <w:adjustRightInd w:val="0"/>
              <w:snapToGrid w:val="0"/>
              <w:jc w:val="center"/>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10</w:t>
            </w:r>
          </w:p>
        </w:tc>
        <w:tc>
          <w:tcPr>
            <w:tcW w:w="124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bCs/>
                <w:color w:val="000000"/>
                <w:kern w:val="0"/>
                <w:sz w:val="21"/>
                <w:lang w:bidi="ar"/>
              </w:rPr>
              <w:t>元江县</w:t>
            </w:r>
          </w:p>
        </w:tc>
        <w:tc>
          <w:tcPr>
            <w:tcW w:w="2458"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center"/>
              <w:textAlignment w:val="center"/>
              <w:rPr>
                <w:rFonts w:ascii="宋体" w:hAnsi="宋体" w:eastAsia="宋体" w:cs="宋体"/>
                <w:sz w:val="21"/>
              </w:rPr>
            </w:pPr>
            <w:r>
              <w:rPr>
                <w:rFonts w:hint="eastAsia" w:ascii="宋体" w:hAnsi="宋体" w:eastAsia="宋体" w:cs="宋体"/>
                <w:sz w:val="21"/>
              </w:rPr>
              <w:t>2907.4</w:t>
            </w:r>
          </w:p>
        </w:tc>
        <w:tc>
          <w:tcPr>
            <w:tcW w:w="2070" w:type="dxa"/>
            <w:vAlign w:val="center"/>
          </w:tcPr>
          <w:p>
            <w:pPr>
              <w:widowControl/>
              <w:adjustRightInd w:val="0"/>
              <w:snapToGrid w:val="0"/>
              <w:jc w:val="center"/>
              <w:textAlignment w:val="center"/>
              <w:rPr>
                <w:rFonts w:ascii="宋体" w:hAnsi="宋体" w:eastAsia="宋体" w:cs="宋体"/>
                <w:bCs/>
                <w:color w:val="000000"/>
                <w:kern w:val="0"/>
                <w:sz w:val="21"/>
                <w:lang w:bidi="ar"/>
              </w:rPr>
            </w:pPr>
            <w:r>
              <w:rPr>
                <w:rFonts w:hint="eastAsia" w:ascii="宋体" w:hAnsi="宋体" w:eastAsia="宋体" w:cs="宋体"/>
                <w:bCs/>
                <w:color w:val="000000"/>
                <w:kern w:val="0"/>
                <w:sz w:val="21"/>
                <w:lang w:bidi="ar"/>
              </w:rPr>
              <w:t>2907.4</w:t>
            </w:r>
          </w:p>
        </w:tc>
        <w:tc>
          <w:tcPr>
            <w:tcW w:w="2447" w:type="dxa"/>
            <w:vAlign w:val="center"/>
          </w:tcPr>
          <w:p>
            <w:pPr>
              <w:widowControl/>
              <w:adjustRightInd w:val="0"/>
              <w:snapToGrid w:val="0"/>
              <w:jc w:val="center"/>
              <w:textAlignment w:val="center"/>
              <w:rPr>
                <w:rFonts w:ascii="宋体" w:hAnsi="宋体" w:eastAsia="宋体" w:cs="宋体"/>
                <w:bCs/>
                <w:color w:val="000000"/>
                <w:kern w:val="0"/>
                <w:sz w:val="21"/>
                <w:lang w:bidi="ar"/>
              </w:rPr>
            </w:pPr>
          </w:p>
        </w:tc>
      </w:tr>
    </w:tbl>
    <w:p>
      <w:pPr>
        <w:spacing w:line="579" w:lineRule="exact"/>
        <w:ind w:firstLine="630" w:firstLineChars="200"/>
        <w:outlineLvl w:val="1"/>
        <w:rPr>
          <w:rFonts w:ascii="楷体" w:hAnsi="楷体" w:eastAsia="楷体"/>
          <w:kern w:val="0"/>
          <w:szCs w:val="30"/>
        </w:rPr>
      </w:pPr>
      <w:bookmarkStart w:id="122" w:name="_Toc7617_WPSOffice_Level2"/>
      <w:r>
        <w:rPr>
          <w:rFonts w:hint="eastAsia" w:ascii="楷体" w:hAnsi="楷体" w:eastAsia="楷体"/>
          <w:kern w:val="0"/>
          <w:szCs w:val="30"/>
        </w:rPr>
        <w:t>（四）效果情况分析</w:t>
      </w:r>
      <w:bookmarkEnd w:id="119"/>
      <w:bookmarkEnd w:id="120"/>
      <w:bookmarkEnd w:id="121"/>
      <w:bookmarkEnd w:id="122"/>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项目效果情况包括社会效益、可持续影响、满意度情况。该项满分为30分，得分20.35分，得分率67.83%。</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1.社会效益</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社会效益指标满分16分，综合评价得分为14分，得分率87.50%。对带动受益人完成率、房屋品质提升、改造房入住率及基础设施和公共服务改善等4个指标进行评价。建档立卡贫困户和“直过民族”户危房改造以及“直过民族”整村推进计划带动受益人数13138人，实际带动受益人数13082人，带动受益人完成率99.57%。通过实地评价，各县（区）建档立卡贫困户和“直过民族”户房屋质量、居住环境等较之前有所改善。整村推进项目实施改善了基础设施和公共服务，建设内容展现了当地特色的村容村貌。但实地评价中发现红塔区、元江县和新平县房屋在建成半年后就出现漏雨、墙体开裂等房屋品质问题。房屋入住情况方面，截至评价日，共有3911户实际入住，改造房屋入住率为99.56%，有17户在房屋建成后不愿入住。各县（区）受益、入住情况详见附件4。</w:t>
      </w:r>
    </w:p>
    <w:p>
      <w:pPr>
        <w:spacing w:line="579" w:lineRule="exact"/>
        <w:ind w:firstLine="630" w:firstLineChars="200"/>
        <w:rPr>
          <w:rFonts w:hAnsi="仿宋"/>
          <w:kern w:val="0"/>
          <w:szCs w:val="30"/>
        </w:rPr>
      </w:pPr>
      <w:r>
        <w:rPr>
          <w:rFonts w:hint="eastAsia" w:hAnsi="仿宋"/>
          <w:kern w:val="0"/>
          <w:szCs w:val="30"/>
        </w:rPr>
        <w:t>2.可持续效益</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可持续效益指标满分9分，综合评价得分为3.35分，得分率37.22%。对长效保障机制、改造后房屋保证安全期限和抗震标准等2个指标进行评价。</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通过实地评价发现，“直过民族”整村推进实施的53个项目，未建立房屋设施、村容村貌、环境卫生、基础设施等建后维护的基层长效管理机制。未建立有效的长效保障机制，难以保证“直过民族”地区</w:t>
      </w:r>
      <w:bookmarkStart w:id="123" w:name="_Toc11986_WPSOffice_Level2"/>
      <w:r>
        <w:rPr>
          <w:rFonts w:hint="eastAsia" w:hAnsi="仿宋"/>
          <w:color w:val="000000" w:themeColor="text1"/>
          <w:szCs w:val="30"/>
          <w14:textFill>
            <w14:solidFill>
              <w14:schemeClr w14:val="tx1"/>
            </w14:solidFill>
          </w14:textFill>
        </w:rPr>
        <w:t>的可持续发展。</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另外，建档立卡贫困户和“直过民族”户危房改造方面，各县（区）项目主管部门在验收房屋合格时，除新平县、江川区、华宁县和澄江县外，其他县（区）未对改造后房屋抗震标准作出</w:t>
      </w:r>
      <w:r>
        <w:rPr>
          <w:rFonts w:hint="eastAsia" w:hAnsi="仿宋"/>
          <w:color w:val="000000" w:themeColor="text1"/>
          <w:szCs w:val="30"/>
          <w:lang w:val="en-US" w:eastAsia="zh-CN"/>
          <w14:textFill>
            <w14:solidFill>
              <w14:schemeClr w14:val="tx1"/>
            </w14:solidFill>
          </w14:textFill>
        </w:rPr>
        <w:t>相关要求</w:t>
      </w:r>
      <w:r>
        <w:rPr>
          <w:rFonts w:hint="eastAsia" w:hAnsi="仿宋"/>
          <w:color w:val="000000" w:themeColor="text1"/>
          <w:szCs w:val="30"/>
          <w14:textFill>
            <w14:solidFill>
              <w14:schemeClr w14:val="tx1"/>
            </w14:solidFill>
          </w14:textFill>
        </w:rPr>
        <w:t>，无法判断改造后房屋是否达到《农村危房改造抗震安全基本要求（试行）》要求，项目主管部门对房屋验收存在缺陷。</w:t>
      </w:r>
    </w:p>
    <w:bookmarkEnd w:id="123"/>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4.满意度</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满意度指标满分5分，综合评价得分为3分，得分率60%。实地评价期间，评价组对受益对象满意度进行了问卷调查。</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本次再评价累计发放105份问卷调查表，回收100份有效问卷。根据问卷结果显示建档立卡贫困户和“直过民族”户危房改造以及“直过民族”整村推进项目资金满意程度为81.84%，受益对象主要对危房改造的规划位置、建成后的房屋品质及居住环境改善情况等方面存在部分不满意。</w:t>
      </w:r>
    </w:p>
    <w:p>
      <w:pPr>
        <w:spacing w:line="579" w:lineRule="exact"/>
        <w:ind w:firstLine="630" w:firstLineChars="200"/>
        <w:outlineLvl w:val="0"/>
        <w:rPr>
          <w:rFonts w:hint="default" w:ascii="黑体" w:hAnsi="宋体" w:eastAsia="黑体" w:cs="宋体"/>
          <w:szCs w:val="30"/>
          <w:lang w:val="en-US" w:eastAsia="zh-CN"/>
        </w:rPr>
      </w:pPr>
      <w:bookmarkStart w:id="124" w:name="_Toc446_WPSOffice_Level1"/>
      <w:r>
        <w:rPr>
          <w:rFonts w:hint="eastAsia" w:ascii="黑体" w:hAnsi="宋体" w:eastAsia="黑体" w:cs="宋体"/>
          <w:szCs w:val="30"/>
          <w:lang w:val="en-US" w:eastAsia="zh-CN"/>
        </w:rPr>
        <w:t>六、工程项目审核情况</w:t>
      </w:r>
      <w:bookmarkEnd w:id="124"/>
    </w:p>
    <w:p>
      <w:pPr>
        <w:spacing w:line="579" w:lineRule="exact"/>
        <w:ind w:firstLine="630" w:firstLineChars="200"/>
        <w:outlineLvl w:val="0"/>
        <w:rPr>
          <w:rFonts w:hint="default" w:ascii="黑体" w:hAnsi="宋体" w:eastAsia="仿宋" w:cs="宋体"/>
          <w:szCs w:val="30"/>
          <w:lang w:val="en-US" w:eastAsia="zh-CN"/>
        </w:rPr>
      </w:pPr>
      <w:r>
        <w:rPr>
          <w:rFonts w:hint="eastAsia" w:hAnsi="仿宋"/>
          <w:color w:val="000000" w:themeColor="text1"/>
          <w:szCs w:val="30"/>
          <w:lang w:val="en-US" w:eastAsia="zh-CN"/>
          <w14:textFill>
            <w14:solidFill>
              <w14:schemeClr w14:val="tx1"/>
            </w14:solidFill>
          </w14:textFill>
        </w:rPr>
        <w:t>截至评价日，</w:t>
      </w:r>
      <w:r>
        <w:rPr>
          <w:rFonts w:hint="eastAsia" w:hAnsi="仿宋"/>
          <w:color w:val="000000" w:themeColor="text1"/>
          <w:szCs w:val="30"/>
          <w14:textFill>
            <w14:solidFill>
              <w14:schemeClr w14:val="tx1"/>
            </w14:solidFill>
          </w14:textFill>
        </w:rPr>
        <w:t>建档立卡贫困户和“直过民族”户危房改造</w:t>
      </w:r>
      <w:r>
        <w:rPr>
          <w:rFonts w:hint="eastAsia" w:hAnsi="仿宋"/>
          <w:color w:val="000000" w:themeColor="text1"/>
          <w:szCs w:val="30"/>
          <w:lang w:val="en-US" w:eastAsia="zh-CN"/>
          <w14:textFill>
            <w14:solidFill>
              <w14:schemeClr w14:val="tx1"/>
            </w14:solidFill>
          </w14:textFill>
        </w:rPr>
        <w:t>实际改造3928户，“直过民族”整村推进项目实际完成53个自然村。本项目</w:t>
      </w:r>
      <w:r>
        <w:rPr>
          <w:rFonts w:hint="eastAsia" w:hAnsi="仿宋"/>
          <w:color w:val="000000" w:themeColor="text1"/>
          <w:szCs w:val="30"/>
          <w14:textFill>
            <w14:solidFill>
              <w14:schemeClr w14:val="tx1"/>
            </w14:solidFill>
          </w14:textFill>
        </w:rPr>
        <w:t>房屋建设招投标、施工建设、竣工验收、审计结算等方面不同程度地存在一定的瑕疵和不规范之处，项目主管部门对项目工程施工方面缺乏有效专业监管和指导。</w:t>
      </w:r>
      <w:r>
        <w:rPr>
          <w:rFonts w:hint="eastAsia" w:hAnsi="仿宋"/>
          <w:color w:val="000000" w:themeColor="text1"/>
          <w:szCs w:val="30"/>
          <w:lang w:val="en-US" w:eastAsia="zh-CN"/>
          <w14:textFill>
            <w14:solidFill>
              <w14:schemeClr w14:val="tx1"/>
            </w14:solidFill>
          </w14:textFill>
        </w:rPr>
        <w:t>详见附件6。</w:t>
      </w:r>
    </w:p>
    <w:p>
      <w:pPr>
        <w:spacing w:line="579" w:lineRule="exact"/>
        <w:ind w:firstLine="630" w:firstLineChars="200"/>
        <w:outlineLvl w:val="0"/>
        <w:rPr>
          <w:rFonts w:ascii="黑体" w:hAnsi="宋体" w:eastAsia="黑体" w:cs="宋体"/>
          <w:szCs w:val="30"/>
        </w:rPr>
      </w:pPr>
      <w:bookmarkStart w:id="125" w:name="_Toc1967_WPSOffice_Level1"/>
      <w:r>
        <w:rPr>
          <w:rFonts w:hint="eastAsia" w:ascii="黑体" w:hAnsi="宋体" w:eastAsia="黑体" w:cs="宋体"/>
          <w:szCs w:val="30"/>
        </w:rPr>
        <w:t>七、存在问题及原因分析</w:t>
      </w:r>
      <w:bookmarkEnd w:id="125"/>
    </w:p>
    <w:p>
      <w:pPr>
        <w:spacing w:line="579" w:lineRule="exact"/>
        <w:ind w:firstLine="632"/>
        <w:outlineLvl w:val="1"/>
        <w:rPr>
          <w:rFonts w:ascii="楷体" w:hAnsi="楷体" w:eastAsia="楷体"/>
          <w:szCs w:val="30"/>
        </w:rPr>
      </w:pPr>
      <w:bookmarkStart w:id="126" w:name="_Toc4650_WPSOffice_Level2"/>
      <w:bookmarkStart w:id="127" w:name="_Toc28684_WPSOffice_Level2"/>
      <w:bookmarkStart w:id="128" w:name="_Toc17905_WPSOffice_Level2"/>
      <w:bookmarkStart w:id="129" w:name="_Toc13127680"/>
      <w:r>
        <w:rPr>
          <w:rFonts w:hint="eastAsia" w:ascii="楷体" w:hAnsi="楷体" w:eastAsia="楷体"/>
          <w:szCs w:val="30"/>
        </w:rPr>
        <w:t>（一）项目资金结余较大、过度占用财政资金</w:t>
      </w:r>
      <w:bookmarkEnd w:id="126"/>
      <w:bookmarkEnd w:id="127"/>
      <w:bookmarkEnd w:id="128"/>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项目实施过程中，存在建档立卡贫困户和“直过民族”户D级危房拆除重建户数排查、审查不严，上报不实；相关部门未统筹协调考虑各口扶贫政策，导致本项目实际支出需求与起初银行过桥贷款本金差异较大，差异率达25.78%，放大了项目资金需求，占用政府贷款信用额度，造成政府多支付贷款利息，浪费财政资金。</w:t>
      </w:r>
      <w:r>
        <w:rPr>
          <w:rFonts w:hint="eastAsia" w:hAnsi="仿宋"/>
          <w:szCs w:val="30"/>
        </w:rPr>
        <w:t>本项目资金30,770万元，其中用于建档立卡贫困户和“直过民族”户危房改造补助资金22,670万元，“直过民族”整村推进补助资金8,100万元</w:t>
      </w:r>
      <w:r>
        <w:rPr>
          <w:rFonts w:hint="eastAsia" w:hAnsi="仿宋"/>
          <w:szCs w:val="30"/>
          <w:lang w:eastAsia="zh-CN"/>
        </w:rPr>
        <w:t>。</w:t>
      </w:r>
      <w:r>
        <w:rPr>
          <w:rFonts w:hint="eastAsia" w:hAnsi="仿宋"/>
          <w:szCs w:val="30"/>
        </w:rPr>
        <w:t>截至评价日，项目总结余资金应为</w:t>
      </w:r>
      <w:r>
        <w:rPr>
          <w:rFonts w:hint="eastAsia" w:hAnsi="仿宋"/>
          <w:szCs w:val="30"/>
          <w:lang w:val="en-US" w:eastAsia="zh-CN"/>
        </w:rPr>
        <w:t>9699</w:t>
      </w:r>
      <w:r>
        <w:rPr>
          <w:rFonts w:hint="eastAsia" w:hAnsi="仿宋"/>
          <w:szCs w:val="30"/>
        </w:rPr>
        <w:t>.81万元</w:t>
      </w:r>
      <w:r>
        <w:rPr>
          <w:rFonts w:hint="eastAsia" w:hAnsi="仿宋"/>
          <w:szCs w:val="30"/>
          <w:lang w:val="en-US" w:eastAsia="zh-CN"/>
        </w:rPr>
        <w:t>由三部分组成：第一部分为：</w:t>
      </w:r>
      <w:r>
        <w:rPr>
          <w:rFonts w:hint="eastAsia" w:hAnsi="仿宋"/>
          <w:szCs w:val="30"/>
        </w:rPr>
        <w:t>2018年6月市扶贫办</w:t>
      </w:r>
      <w:r>
        <w:rPr>
          <w:rFonts w:hint="eastAsia" w:hAnsi="仿宋"/>
          <w:szCs w:val="30"/>
          <w:lang w:val="en-US" w:eastAsia="zh-CN"/>
        </w:rPr>
        <w:t>已</w:t>
      </w:r>
      <w:r>
        <w:rPr>
          <w:rFonts w:hint="eastAsia" w:hAnsi="仿宋"/>
          <w:szCs w:val="30"/>
        </w:rPr>
        <w:t>向市人民政府请示收回结余资金</w:t>
      </w:r>
      <w:r>
        <w:rPr>
          <w:rFonts w:hint="eastAsia" w:hAnsi="仿宋"/>
          <w:color w:val="000000" w:themeColor="text1"/>
          <w:szCs w:val="30"/>
          <w14:textFill>
            <w14:solidFill>
              <w14:schemeClr w14:val="tx1"/>
            </w14:solidFill>
          </w14:textFill>
        </w:rPr>
        <w:t>7040.71万元</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第二部分为：</w:t>
      </w:r>
      <w:r>
        <w:rPr>
          <w:rFonts w:hint="eastAsia" w:hAnsi="仿宋"/>
          <w:color w:val="000000" w:themeColor="text1"/>
          <w:szCs w:val="30"/>
          <w14:textFill>
            <w14:solidFill>
              <w14:schemeClr w14:val="tx1"/>
            </w14:solidFill>
          </w14:textFill>
        </w:rPr>
        <w:t>根据《玉溪市扶贫开发领导小组关于切实做好建档立卡贫困户和“直过民族”户D级危房就近就地拆除重建资金的兑补工作通知》（玉扶组发〔2018〕10）</w:t>
      </w:r>
      <w:r>
        <w:rPr>
          <w:rFonts w:hint="eastAsia" w:hAnsi="仿宋"/>
          <w:color w:val="000000" w:themeColor="text1"/>
          <w:szCs w:val="30"/>
          <w:lang w:val="en-US" w:eastAsia="zh-CN"/>
          <w14:textFill>
            <w14:solidFill>
              <w14:schemeClr w14:val="tx1"/>
            </w14:solidFill>
          </w14:textFill>
        </w:rPr>
        <w:t>文件要求</w:t>
      </w:r>
      <w:r>
        <w:rPr>
          <w:rFonts w:hint="eastAsia" w:hAnsi="仿宋"/>
          <w:color w:val="000000" w:themeColor="text1"/>
          <w:szCs w:val="30"/>
          <w:highlight w:val="none"/>
          <w14:textFill>
            <w14:solidFill>
              <w14:schemeClr w14:val="tx1"/>
            </w14:solidFill>
          </w14:textFill>
        </w:rPr>
        <w:t>，</w:t>
      </w:r>
      <w:r>
        <w:rPr>
          <w:rFonts w:hint="eastAsia" w:hAnsi="仿宋"/>
          <w:color w:val="000000" w:themeColor="text1"/>
          <w:szCs w:val="30"/>
          <w:highlight w:val="none"/>
          <w:lang w:val="en-US" w:eastAsia="zh-CN"/>
          <w14:textFill>
            <w14:solidFill>
              <w14:schemeClr w14:val="tx1"/>
            </w14:solidFill>
          </w14:textFill>
        </w:rPr>
        <w:t>本项目整合住建部门“四类重点”农村危房改造资金后，</w:t>
      </w:r>
      <w:r>
        <w:rPr>
          <w:rFonts w:hint="eastAsia" w:hAnsi="仿宋"/>
          <w:color w:val="000000" w:themeColor="text1"/>
          <w:szCs w:val="30"/>
          <w:highlight w:val="none"/>
          <w14:textFill>
            <w14:solidFill>
              <w14:schemeClr w14:val="tx1"/>
            </w14:solidFill>
          </w14:textFill>
        </w:rPr>
        <w:t>本项目应结余</w:t>
      </w:r>
      <w:r>
        <w:rPr>
          <w:rFonts w:hint="eastAsia" w:hAnsi="仿宋"/>
          <w:color w:val="000000" w:themeColor="text1"/>
          <w:szCs w:val="30"/>
          <w14:textFill>
            <w14:solidFill>
              <w14:schemeClr w14:val="tx1"/>
            </w14:solidFill>
          </w14:textFill>
        </w:rPr>
        <w:t>资金</w:t>
      </w:r>
      <w:r>
        <w:rPr>
          <w:rFonts w:hint="eastAsia" w:hAnsi="仿宋"/>
          <w:color w:val="000000" w:themeColor="text1"/>
          <w:szCs w:val="30"/>
          <w:lang w:val="en-US" w:eastAsia="zh-CN"/>
          <w14:textFill>
            <w14:solidFill>
              <w14:schemeClr w14:val="tx1"/>
            </w14:solidFill>
          </w14:textFill>
        </w:rPr>
        <w:t>2289</w:t>
      </w:r>
      <w:r>
        <w:rPr>
          <w:rFonts w:hint="eastAsia" w:hAnsi="仿宋"/>
          <w:color w:val="000000" w:themeColor="text1"/>
          <w:szCs w:val="30"/>
          <w14:textFill>
            <w14:solidFill>
              <w14:schemeClr w14:val="tx1"/>
            </w14:solidFill>
          </w14:textFill>
        </w:rPr>
        <w:t>万元</w:t>
      </w:r>
      <w:r>
        <w:rPr>
          <w:rFonts w:hint="eastAsia" w:hAnsi="仿宋"/>
          <w:color w:val="000000" w:themeColor="text1"/>
          <w:szCs w:val="30"/>
          <w:highlight w:val="none"/>
          <w:lang w:eastAsia="zh-CN"/>
          <w14:textFill>
            <w14:solidFill>
              <w14:schemeClr w14:val="tx1"/>
            </w14:solidFill>
          </w14:textFill>
        </w:rPr>
        <w:t>（</w:t>
      </w:r>
      <w:r>
        <w:rPr>
          <w:rFonts w:hint="eastAsia" w:hAnsi="仿宋"/>
          <w:color w:val="000000" w:themeColor="text1"/>
          <w:szCs w:val="30"/>
          <w:highlight w:val="none"/>
          <w:lang w:val="en-US" w:eastAsia="zh-CN"/>
          <w14:textFill>
            <w14:solidFill>
              <w14:schemeClr w14:val="tx1"/>
            </w14:solidFill>
          </w14:textFill>
        </w:rPr>
        <w:t>其中华宁县1058.40万元、澄江县331.80万元和元江县898.80万元，其他县区均已于2018年6月将资金交回</w:t>
      </w:r>
      <w:r>
        <w:rPr>
          <w:rFonts w:hint="eastAsia" w:hAnsi="仿宋"/>
          <w:color w:val="000000" w:themeColor="text1"/>
          <w:szCs w:val="30"/>
          <w:highlight w:val="none"/>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第三部分为：</w:t>
      </w:r>
      <w:r>
        <w:rPr>
          <w:rFonts w:hint="eastAsia" w:hAnsi="仿宋"/>
          <w:color w:val="000000" w:themeColor="text1"/>
          <w:szCs w:val="30"/>
          <w14:textFill>
            <w14:solidFill>
              <w14:schemeClr w14:val="tx1"/>
            </w14:solidFill>
          </w14:textFill>
        </w:rPr>
        <w:t>红塔区、峨山县、华宁县和通海县项目结余资金370.10万元</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lang w:val="en-US" w:eastAsia="zh-CN"/>
          <w14:textFill>
            <w14:solidFill>
              <w14:schemeClr w14:val="tx1"/>
            </w14:solidFill>
          </w14:textFill>
        </w:rPr>
        <w:t>其中红塔区81.48万元，峨山县40万元、华宁县149万元和通海县62.6万元</w:t>
      </w:r>
      <w:r>
        <w:rPr>
          <w:rFonts w:hint="eastAsia" w:hAnsi="仿宋"/>
          <w:color w:val="000000" w:themeColor="text1"/>
          <w:szCs w:val="30"/>
          <w:lang w:eastAsia="zh-CN"/>
          <w14:textFill>
            <w14:solidFill>
              <w14:schemeClr w14:val="tx1"/>
            </w14:solidFill>
          </w14:textFill>
        </w:rPr>
        <w:t>）</w:t>
      </w:r>
      <w:r>
        <w:rPr>
          <w:rFonts w:hint="eastAsia" w:hAnsi="仿宋"/>
          <w:color w:val="000000" w:themeColor="text1"/>
          <w:szCs w:val="30"/>
          <w14:textFill>
            <w14:solidFill>
              <w14:schemeClr w14:val="tx1"/>
            </w14:solidFill>
          </w14:textFill>
        </w:rPr>
        <w:t>。详和附件3和表11：</w:t>
      </w:r>
    </w:p>
    <w:p>
      <w:pPr>
        <w:keepNext w:val="0"/>
        <w:keepLines w:val="0"/>
        <w:pageBreakBefore w:val="0"/>
        <w:widowControl w:val="0"/>
        <w:kinsoku/>
        <w:wordWrap/>
        <w:overflowPunct/>
        <w:topLinePunct w:val="0"/>
        <w:autoSpaceDE/>
        <w:autoSpaceDN/>
        <w:bidi w:val="0"/>
        <w:adjustRightInd w:val="0"/>
        <w:snapToGrid w:val="0"/>
        <w:spacing w:line="240" w:lineRule="auto"/>
        <w:ind w:firstLine="510" w:firstLineChars="200"/>
        <w:jc w:val="center"/>
        <w:textAlignment w:val="auto"/>
        <w:rPr>
          <w:rFonts w:hint="eastAsia" w:ascii="黑体" w:hAnsi="黑体" w:eastAsia="黑体"/>
          <w:sz w:val="24"/>
          <w:szCs w:val="24"/>
        </w:rPr>
      </w:pPr>
    </w:p>
    <w:p>
      <w:pPr>
        <w:keepNext w:val="0"/>
        <w:keepLines w:val="0"/>
        <w:pageBreakBefore w:val="0"/>
        <w:widowControl w:val="0"/>
        <w:kinsoku/>
        <w:wordWrap/>
        <w:overflowPunct/>
        <w:topLinePunct w:val="0"/>
        <w:autoSpaceDE/>
        <w:autoSpaceDN/>
        <w:bidi w:val="0"/>
        <w:adjustRightInd w:val="0"/>
        <w:snapToGrid w:val="0"/>
        <w:spacing w:line="240" w:lineRule="auto"/>
        <w:ind w:firstLine="510" w:firstLineChars="200"/>
        <w:jc w:val="center"/>
        <w:textAlignment w:val="auto"/>
        <w:rPr>
          <w:rFonts w:ascii="黑体" w:hAnsi="黑体" w:eastAsia="黑体"/>
          <w:sz w:val="24"/>
          <w:szCs w:val="24"/>
        </w:rPr>
      </w:pPr>
      <w:r>
        <w:rPr>
          <w:rFonts w:hint="eastAsia" w:ascii="黑体" w:hAnsi="黑体" w:eastAsia="黑体"/>
          <w:sz w:val="24"/>
          <w:szCs w:val="24"/>
        </w:rPr>
        <w:t>表11 结余资金原因、影响分析表</w:t>
      </w:r>
    </w:p>
    <w:p>
      <w:pPr>
        <w:keepNext w:val="0"/>
        <w:keepLines w:val="0"/>
        <w:pageBreakBefore w:val="0"/>
        <w:widowControl w:val="0"/>
        <w:kinsoku/>
        <w:wordWrap/>
        <w:overflowPunct/>
        <w:topLinePunct w:val="0"/>
        <w:autoSpaceDE/>
        <w:autoSpaceDN/>
        <w:bidi w:val="0"/>
        <w:adjustRightInd w:val="0"/>
        <w:snapToGrid w:val="0"/>
        <w:spacing w:line="240" w:lineRule="auto"/>
        <w:ind w:firstLine="510" w:firstLineChars="200"/>
        <w:jc w:val="right"/>
        <w:textAlignment w:val="auto"/>
        <w:rPr>
          <w:rFonts w:ascii="黑体" w:hAnsi="黑体" w:eastAsia="黑体"/>
          <w:sz w:val="24"/>
          <w:szCs w:val="24"/>
        </w:rPr>
      </w:pPr>
      <w:r>
        <w:rPr>
          <w:rFonts w:hint="eastAsia" w:ascii="黑体" w:hAnsi="黑体" w:eastAsia="黑体"/>
          <w:sz w:val="24"/>
          <w:szCs w:val="24"/>
        </w:rPr>
        <w:t>单位：万元</w:t>
      </w:r>
    </w:p>
    <w:tbl>
      <w:tblPr>
        <w:tblStyle w:val="18"/>
        <w:tblW w:w="90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2"/>
        <w:gridCol w:w="2586"/>
        <w:gridCol w:w="343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r>
              <w:rPr>
                <w:rFonts w:hint="eastAsia" w:ascii="宋体" w:hAnsi="宋体" w:eastAsia="宋体" w:cs="宋体"/>
                <w:b/>
                <w:bCs/>
                <w:color w:val="000000" w:themeColor="text1"/>
                <w:sz w:val="21"/>
                <w14:textFill>
                  <w14:solidFill>
                    <w14:schemeClr w14:val="tx1"/>
                  </w14:solidFill>
                </w14:textFill>
              </w:rPr>
              <w:t>涉及结余资金</w:t>
            </w:r>
          </w:p>
        </w:tc>
        <w:tc>
          <w:tcPr>
            <w:tcW w:w="258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r>
              <w:rPr>
                <w:rFonts w:hint="eastAsia" w:ascii="宋体" w:hAnsi="宋体" w:eastAsia="宋体" w:cs="宋体"/>
                <w:b/>
                <w:bCs/>
                <w:color w:val="000000" w:themeColor="text1"/>
                <w:sz w:val="21"/>
                <w14:textFill>
                  <w14:solidFill>
                    <w14:schemeClr w14:val="tx1"/>
                  </w14:solidFill>
                </w14:textFill>
              </w:rPr>
              <w:t>原因</w:t>
            </w:r>
          </w:p>
        </w:tc>
        <w:tc>
          <w:tcPr>
            <w:tcW w:w="34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r>
              <w:rPr>
                <w:rFonts w:hint="eastAsia" w:ascii="宋体" w:hAnsi="宋体" w:eastAsia="宋体" w:cs="宋体"/>
                <w:b/>
                <w:bCs/>
                <w:color w:val="000000" w:themeColor="text1"/>
                <w:sz w:val="21"/>
                <w14:textFill>
                  <w14:solidFill>
                    <w14:schemeClr w14:val="tx1"/>
                  </w14:solidFill>
                </w14:textFill>
              </w:rPr>
              <w:t>影响</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r>
              <w:rPr>
                <w:rFonts w:hint="eastAsia" w:ascii="宋体" w:hAnsi="宋体" w:eastAsia="宋体" w:cs="宋体"/>
                <w:b/>
                <w:bCs/>
                <w:color w:val="000000" w:themeColor="text1"/>
                <w:sz w:val="21"/>
                <w14:textFill>
                  <w14:solidFill>
                    <w14:schemeClr w14:val="tx1"/>
                  </w14:solidFill>
                </w14:textFill>
              </w:rPr>
              <w:t>返还情况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7040.71</w:t>
            </w:r>
          </w:p>
        </w:tc>
        <w:tc>
          <w:tcPr>
            <w:tcW w:w="258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危房拆除重建户数排查、审查不严，上报不实，资金结余</w:t>
            </w:r>
          </w:p>
        </w:tc>
        <w:tc>
          <w:tcPr>
            <w:tcW w:w="34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从2017年12月项目下拨各县（区）至2018年6月资金收回，期间产生6个月的贷款利息，占用政府信用额度，财政资金闲置</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已返还还贷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color w:val="000000" w:themeColor="text1"/>
                <w:sz w:val="21"/>
                <w:lang w:val="en-US"/>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2289</w:t>
            </w:r>
          </w:p>
        </w:tc>
        <w:tc>
          <w:tcPr>
            <w:tcW w:w="258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补助政策和标准调整，造成资金应结余</w:t>
            </w:r>
            <w:r>
              <w:rPr>
                <w:rFonts w:hint="eastAsia" w:ascii="宋体" w:hAnsi="宋体" w:eastAsia="宋体" w:cs="宋体"/>
                <w:color w:val="000000" w:themeColor="text1"/>
                <w:sz w:val="21"/>
                <w:lang w:val="en-US" w:eastAsia="zh-CN"/>
                <w14:textFill>
                  <w14:solidFill>
                    <w14:schemeClr w14:val="tx1"/>
                  </w14:solidFill>
                </w14:textFill>
              </w:rPr>
              <w:t>2289</w:t>
            </w:r>
            <w:r>
              <w:rPr>
                <w:rFonts w:hint="eastAsia" w:ascii="宋体" w:hAnsi="宋体" w:eastAsia="宋体" w:cs="宋体"/>
                <w:color w:val="000000" w:themeColor="text1"/>
                <w:sz w:val="21"/>
                <w14:textFill>
                  <w14:solidFill>
                    <w14:schemeClr w14:val="tx1"/>
                  </w14:solidFill>
                </w14:textFill>
              </w:rPr>
              <w:t>万元</w:t>
            </w:r>
          </w:p>
        </w:tc>
        <w:tc>
          <w:tcPr>
            <w:tcW w:w="34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2289</w:t>
            </w:r>
            <w:r>
              <w:rPr>
                <w:rFonts w:hint="eastAsia" w:ascii="宋体" w:hAnsi="宋体" w:eastAsia="宋体" w:cs="宋体"/>
                <w:color w:val="000000" w:themeColor="text1"/>
                <w:sz w:val="21"/>
                <w14:textFill>
                  <w14:solidFill>
                    <w14:schemeClr w14:val="tx1"/>
                  </w14:solidFill>
                </w14:textFill>
              </w:rPr>
              <w:t>万元资金，截至评价日，已产生贷款利息，财政资金浪费</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未返还</w:t>
            </w:r>
            <w:r>
              <w:rPr>
                <w:rFonts w:ascii="宋体" w:hAnsi="宋体" w:eastAsia="宋体" w:cs="宋体"/>
                <w:color w:val="000000" w:themeColor="text1"/>
                <w:sz w:val="21"/>
                <w14:textFill>
                  <w14:solidFill>
                    <w14:schemeClr w14:val="tx1"/>
                  </w14:solidFill>
                </w14:textFill>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1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宋体" w:hAnsi="宋体" w:eastAsia="宋体" w:cs="宋体"/>
                <w:color w:val="000000" w:themeColor="text1"/>
                <w:sz w:val="21"/>
                <w:lang w:val="en-US" w:eastAsia="zh-CN"/>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370.10</w:t>
            </w:r>
            <w:r>
              <w:rPr>
                <w:rFonts w:hint="eastAsia" w:ascii="宋体" w:hAnsi="宋体" w:eastAsia="宋体" w:cs="宋体"/>
                <w:color w:val="000000" w:themeColor="text1"/>
                <w:sz w:val="21"/>
                <w:vertAlign w:val="superscript"/>
                <w:lang w:val="en-US" w:eastAsia="zh-CN"/>
                <w14:textFill>
                  <w14:solidFill>
                    <w14:schemeClr w14:val="tx1"/>
                  </w14:solidFill>
                </w14:textFill>
              </w:rPr>
              <w:t>注</w:t>
            </w:r>
          </w:p>
        </w:tc>
        <w:tc>
          <w:tcPr>
            <w:tcW w:w="258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项目实施完成后，项目结余资金，仍在县（区）扶贫部门</w:t>
            </w:r>
          </w:p>
        </w:tc>
        <w:tc>
          <w:tcPr>
            <w:tcW w:w="34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财政资金闲置</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color w:val="000000" w:themeColor="text1"/>
                <w:sz w:val="21"/>
                <w14:textFill>
                  <w14:solidFill>
                    <w14:schemeClr w14:val="tx1"/>
                  </w14:solidFill>
                </w14:textFill>
              </w:rPr>
            </w:pPr>
            <w:r>
              <w:rPr>
                <w:rFonts w:hint="eastAsia" w:ascii="宋体" w:hAnsi="宋体" w:eastAsia="宋体" w:cs="宋体"/>
                <w:color w:val="000000" w:themeColor="text1"/>
                <w:sz w:val="21"/>
                <w14:textFill>
                  <w14:solidFill>
                    <w14:schemeClr w14:val="tx1"/>
                  </w14:solidFill>
                </w14:textFill>
              </w:rPr>
              <w:t>未返还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312"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宋体" w:hAnsi="宋体" w:eastAsia="宋体" w:cs="宋体"/>
                <w:b/>
                <w:bCs/>
                <w:color w:val="000000" w:themeColor="text1"/>
                <w:sz w:val="21"/>
                <w:lang w:val="en-US" w:eastAsia="zh-CN"/>
                <w14:textFill>
                  <w14:solidFill>
                    <w14:schemeClr w14:val="tx1"/>
                  </w14:solidFill>
                </w14:textFill>
              </w:rPr>
            </w:pPr>
            <w:r>
              <w:rPr>
                <w:rFonts w:hint="eastAsia" w:ascii="宋体" w:hAnsi="宋体" w:eastAsia="宋体" w:cs="宋体"/>
                <w:b/>
                <w:bCs/>
                <w:color w:val="000000" w:themeColor="text1"/>
                <w:sz w:val="21"/>
                <w:lang w:val="en-US" w:eastAsia="zh-CN"/>
                <w14:textFill>
                  <w14:solidFill>
                    <w14:schemeClr w14:val="tx1"/>
                  </w14:solidFill>
                </w14:textFill>
              </w:rPr>
              <w:t>9699.81</w:t>
            </w:r>
          </w:p>
        </w:tc>
        <w:tc>
          <w:tcPr>
            <w:tcW w:w="2586"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r>
              <w:rPr>
                <w:rFonts w:hint="eastAsia" w:ascii="宋体" w:hAnsi="宋体" w:eastAsia="宋体" w:cs="宋体"/>
                <w:b/>
                <w:bCs/>
                <w:color w:val="000000" w:themeColor="text1"/>
                <w:sz w:val="21"/>
                <w14:textFill>
                  <w14:solidFill>
                    <w14:schemeClr w14:val="tx1"/>
                  </w14:solidFill>
                </w14:textFill>
              </w:rPr>
              <w:t>—</w:t>
            </w:r>
          </w:p>
        </w:tc>
        <w:tc>
          <w:tcPr>
            <w:tcW w:w="34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r>
              <w:rPr>
                <w:rFonts w:hint="eastAsia" w:ascii="宋体" w:hAnsi="宋体" w:eastAsia="宋体" w:cs="宋体"/>
                <w:b/>
                <w:bCs/>
                <w:color w:val="000000" w:themeColor="text1"/>
                <w:sz w:val="21"/>
                <w14:textFill>
                  <w14:solidFill>
                    <w14:schemeClr w14:val="tx1"/>
                  </w14:solidFill>
                </w14:textFill>
              </w:rPr>
              <w:t>—</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ascii="宋体" w:hAnsi="宋体" w:eastAsia="宋体" w:cs="宋体"/>
                <w:b/>
                <w:bCs/>
                <w:color w:val="000000" w:themeColor="text1"/>
                <w:sz w:val="21"/>
                <w14:textFill>
                  <w14:solidFill>
                    <w14:schemeClr w14:val="tx1"/>
                  </w14:solidFill>
                </w14:textFill>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firstLine="450" w:firstLineChars="200"/>
        <w:textAlignment w:val="auto"/>
        <w:rPr>
          <w:rFonts w:hint="default" w:hAnsi="仿宋"/>
          <w:color w:val="000000" w:themeColor="text1"/>
          <w:szCs w:val="30"/>
          <w:lang w:val="en-US" w:eastAsia="zh-CN"/>
          <w14:textFill>
            <w14:solidFill>
              <w14:schemeClr w14:val="tx1"/>
            </w14:solidFill>
          </w14:textFill>
        </w:rPr>
      </w:pPr>
      <w:r>
        <w:rPr>
          <w:rFonts w:hint="eastAsia" w:ascii="宋体" w:hAnsi="宋体" w:eastAsia="宋体" w:cs="宋体"/>
          <w:color w:val="000000" w:themeColor="text1"/>
          <w:sz w:val="21"/>
          <w:lang w:val="en-US" w:eastAsia="zh-CN"/>
          <w14:textFill>
            <w14:solidFill>
              <w14:schemeClr w14:val="tx1"/>
            </w14:solidFill>
          </w14:textFill>
        </w:rPr>
        <w:t>注：截至评价日，新平县账上结余523.15万元为待剩余6个整村推进项目审计完成后应支付工程尾款，故不统计进应结余资金中。</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lang w:val="en-US" w:eastAsia="zh-CN"/>
          <w14:textFill>
            <w14:solidFill>
              <w14:schemeClr w14:val="tx1"/>
            </w14:solidFill>
          </w14:textFill>
        </w:rPr>
        <w:t>资金结余较大主要原因如下：</w:t>
      </w:r>
    </w:p>
    <w:p>
      <w:pPr>
        <w:spacing w:line="579" w:lineRule="exact"/>
        <w:ind w:firstLine="630" w:firstLineChars="200"/>
        <w:rPr>
          <w:rFonts w:hAnsi="仿宋"/>
          <w:szCs w:val="30"/>
        </w:rPr>
      </w:pPr>
      <w:r>
        <w:rPr>
          <w:rFonts w:hint="eastAsia" w:hAnsi="仿宋"/>
          <w:szCs w:val="30"/>
        </w:rPr>
        <w:t>1.任务确定基础工作不到位，导致申报任务量与实际执行差异较大。</w:t>
      </w:r>
    </w:p>
    <w:p>
      <w:pPr>
        <w:spacing w:line="579" w:lineRule="exact"/>
        <w:ind w:firstLine="630" w:firstLineChars="200"/>
        <w:rPr>
          <w:rFonts w:hAnsi="仿宋"/>
          <w:szCs w:val="30"/>
        </w:rPr>
      </w:pPr>
      <w:r>
        <w:rPr>
          <w:rFonts w:hint="eastAsia" w:hAnsi="仿宋"/>
          <w:szCs w:val="30"/>
        </w:rPr>
        <w:t>（1）户数排查、审查不严。评价组评价过程中发现，除通海县、澄江县、易门县、江川区、华宁县以外，其他各县（区）未聘请专业的具有危房鉴定资质的中介机构对其危房进行专业</w:t>
      </w:r>
      <w:r>
        <w:rPr>
          <w:rFonts w:hint="eastAsia" w:hAnsi="仿宋"/>
          <w:szCs w:val="30"/>
          <w:lang w:val="en-US" w:eastAsia="zh-CN"/>
        </w:rPr>
        <w:t>认定</w:t>
      </w:r>
      <w:r>
        <w:rPr>
          <w:rFonts w:hint="eastAsia" w:hAnsi="仿宋"/>
          <w:szCs w:val="30"/>
        </w:rPr>
        <w:t>，</w:t>
      </w:r>
      <w:r>
        <w:rPr>
          <w:rFonts w:hint="eastAsia" w:hAnsi="仿宋"/>
          <w:szCs w:val="30"/>
          <w:lang w:val="en-US" w:eastAsia="zh-CN"/>
        </w:rPr>
        <w:t>认定</w:t>
      </w:r>
      <w:r>
        <w:rPr>
          <w:rFonts w:hint="eastAsia" w:hAnsi="仿宋"/>
          <w:szCs w:val="30"/>
        </w:rPr>
        <w:t>人员仅为当地住建、扶贫办和乡镇政府工作人员，户数排查、审查专业性不强，</w:t>
      </w:r>
      <w:r>
        <w:rPr>
          <w:rFonts w:hint="eastAsia" w:hAnsi="仿宋"/>
          <w:szCs w:val="30"/>
          <w:lang w:val="en-US" w:eastAsia="zh-CN"/>
        </w:rPr>
        <w:t>虽然本项目不要求聘请专业机构进行房屋认定，但因行政工作人员不具备相关专业能力，也是</w:t>
      </w:r>
      <w:r>
        <w:rPr>
          <w:rFonts w:hint="eastAsia" w:hAnsi="仿宋"/>
          <w:szCs w:val="30"/>
        </w:rPr>
        <w:t>造成上报拆除重建户数虚高</w:t>
      </w:r>
      <w:r>
        <w:rPr>
          <w:rFonts w:hint="eastAsia" w:hAnsi="仿宋"/>
          <w:szCs w:val="30"/>
          <w:lang w:val="en-US" w:eastAsia="zh-CN"/>
        </w:rPr>
        <w:t>的原因之一</w:t>
      </w:r>
      <w:r>
        <w:rPr>
          <w:rFonts w:hint="eastAsia" w:hAnsi="仿宋"/>
          <w:szCs w:val="30"/>
        </w:rPr>
        <w:t>。截至评价日，本项目实际改造39</w:t>
      </w:r>
      <w:r>
        <w:rPr>
          <w:rFonts w:hint="eastAsia" w:hAnsi="仿宋"/>
          <w:szCs w:val="30"/>
          <w:lang w:val="en-US" w:eastAsia="zh-CN"/>
        </w:rPr>
        <w:t>28</w:t>
      </w:r>
      <w:r>
        <w:rPr>
          <w:rFonts w:hint="eastAsia" w:hAnsi="仿宋"/>
          <w:szCs w:val="30"/>
        </w:rPr>
        <w:t>户，与4534户相距较大。</w:t>
      </w:r>
    </w:p>
    <w:p>
      <w:pPr>
        <w:spacing w:line="579" w:lineRule="exact"/>
        <w:ind w:firstLine="630" w:firstLineChars="200"/>
        <w:rPr>
          <w:rFonts w:hAnsi="仿宋"/>
          <w:szCs w:val="30"/>
        </w:rPr>
      </w:pPr>
      <w:r>
        <w:rPr>
          <w:rFonts w:hint="eastAsia" w:hAnsi="仿宋"/>
          <w:szCs w:val="30"/>
        </w:rPr>
        <w:t>（2）户数数据上报不实：根据项目实施方案，项目在实施前期，要求各县（区）扶贫部门通过“村→乡镇→县（区）→市”方式层层排查、审查和统计上报满足建档立卡贫困户和“直过民族”户D级危房拆除重建条件的户数。但评价组评价过程中发现</w:t>
      </w:r>
      <w:r>
        <w:rPr>
          <w:rFonts w:hint="eastAsia" w:hAnsi="仿宋"/>
          <w:szCs w:val="30"/>
          <w:lang w:eastAsia="zh-CN"/>
        </w:rPr>
        <w:t>，扶贫系统的基础信息采集工作，主要依赖帮扶干部、村支两委及驻村工作队入户，填写纸质资料采集，数据采集受人为不确定性因素影响扶贫数据的精准。</w:t>
      </w:r>
      <w:r>
        <w:rPr>
          <w:rFonts w:hint="eastAsia" w:hAnsi="仿宋"/>
          <w:szCs w:val="30"/>
        </w:rPr>
        <w:t>除新平县扶贫部门外，玉溪市其他各县（区）扶贫部门无法提供建档立卡贫困户和“直过民族”户危房改造排查户数痕迹资料，无法合理解释4534户改造户数的来源及出处，反映出县（区）扶贫部门未切实有效开展排查审查工作。</w:t>
      </w:r>
    </w:p>
    <w:p>
      <w:pPr>
        <w:spacing w:line="579" w:lineRule="exact"/>
        <w:ind w:firstLine="630" w:firstLineChars="200"/>
        <w:rPr>
          <w:rFonts w:hAnsi="仿宋"/>
          <w:b/>
          <w:bCs/>
          <w:szCs w:val="30"/>
        </w:rPr>
      </w:pPr>
      <w:r>
        <w:rPr>
          <w:rFonts w:hint="eastAsia" w:hAnsi="仿宋"/>
          <w:b/>
          <w:bCs/>
          <w:szCs w:val="30"/>
        </w:rPr>
        <w:t>2.相关部门未统筹协调考虑各口扶贫政策，补助标准前后执行不一致。</w:t>
      </w:r>
    </w:p>
    <w:p>
      <w:pPr>
        <w:spacing w:line="579" w:lineRule="exact"/>
        <w:ind w:firstLine="630" w:firstLineChars="200"/>
        <w:rPr>
          <w:rFonts w:hAnsi="仿宋"/>
          <w:szCs w:val="30"/>
        </w:rPr>
      </w:pPr>
      <w:r>
        <w:rPr>
          <w:rFonts w:hint="eastAsia" w:hAnsi="仿宋"/>
          <w:szCs w:val="30"/>
        </w:rPr>
        <w:t>本项目实施内容与市住建部门长期开展的域内“四类重点对象”农村危房改造项目高度相似，均包含建档立卡贫困户和“直过民族”户危房改造等内容，部分实施受益对象交叉重叠，市扶贫办未统筹协调考虑各口扶贫政策，项目实施必要性的前期论证缺位。项目过程中，由市扶贫办发文，对2017年以来脱贫或未脱贫，且符合住建部门要求的建档立卡贫困户D级危房就近就地拆除重建对象，补助标准从“5万元/户”转变为“2.9万元/户”，造成扶贫过桥贷款资金结余。</w:t>
      </w:r>
    </w:p>
    <w:p>
      <w:pPr>
        <w:spacing w:line="579" w:lineRule="exact"/>
        <w:ind w:firstLine="632"/>
        <w:outlineLvl w:val="1"/>
        <w:rPr>
          <w:rFonts w:ascii="楷体" w:hAnsi="楷体" w:eastAsia="楷体"/>
          <w:szCs w:val="30"/>
        </w:rPr>
      </w:pPr>
      <w:bookmarkStart w:id="130" w:name="_Toc28384_WPSOffice_Level2"/>
      <w:bookmarkStart w:id="131" w:name="_Toc9325_WPSOffice_Level2"/>
      <w:bookmarkStart w:id="132" w:name="_Toc13694_WPSOffice_Level2"/>
      <w:r>
        <w:rPr>
          <w:rFonts w:hint="eastAsia" w:ascii="楷体" w:hAnsi="楷体" w:eastAsia="楷体"/>
          <w:szCs w:val="30"/>
        </w:rPr>
        <w:t>（二）</w:t>
      </w:r>
      <w:bookmarkEnd w:id="129"/>
      <w:r>
        <w:rPr>
          <w:rFonts w:hint="eastAsia" w:ascii="楷体" w:hAnsi="楷体" w:eastAsia="楷体"/>
          <w:szCs w:val="30"/>
        </w:rPr>
        <w:t>项目实施要求不一，项目管理难以有效把控</w:t>
      </w:r>
      <w:bookmarkEnd w:id="130"/>
      <w:bookmarkEnd w:id="131"/>
      <w:bookmarkEnd w:id="132"/>
    </w:p>
    <w:p>
      <w:pPr>
        <w:spacing w:line="579" w:lineRule="exact"/>
        <w:ind w:firstLine="630" w:firstLineChars="200"/>
        <w:rPr>
          <w:rFonts w:hAnsi="仿宋"/>
          <w:szCs w:val="30"/>
        </w:rPr>
      </w:pPr>
      <w:r>
        <w:rPr>
          <w:rFonts w:hint="eastAsia" w:hAnsi="仿宋"/>
          <w:szCs w:val="30"/>
        </w:rPr>
        <w:t>实施方案未对项目的责任分工、建设方式、资金管理、保障机制、建后管护等作出相应规定和要求，导致各县（区）开展项目方式不一，项目实施有采用统一招投标、农户自建等不同方式，导致项目实施管理不受控、建设质量难保障。</w:t>
      </w:r>
    </w:p>
    <w:p>
      <w:pPr>
        <w:spacing w:line="579" w:lineRule="exact"/>
        <w:ind w:firstLine="630" w:firstLineChars="200"/>
        <w:rPr>
          <w:rFonts w:hAnsi="仿宋"/>
          <w:szCs w:val="30"/>
        </w:rPr>
      </w:pPr>
      <w:r>
        <w:rPr>
          <w:rFonts w:hint="eastAsia" w:hAnsi="仿宋"/>
          <w:szCs w:val="30"/>
        </w:rPr>
        <w:t>资金下拨方面，存在“市→县（区）扶贫办→乡镇→农户”和“市→县（区）财政局（或发改局）→县（区）住建→乡镇→农户”等两种下拨模式，资金下拨方式不统一，难以实现项目实施、资金使用的有效监控。</w:t>
      </w:r>
    </w:p>
    <w:p>
      <w:pPr>
        <w:spacing w:line="579" w:lineRule="exact"/>
        <w:ind w:firstLine="630" w:firstLineChars="200"/>
        <w:rPr>
          <w:rFonts w:hAnsi="仿宋"/>
          <w:szCs w:val="30"/>
        </w:rPr>
      </w:pPr>
      <w:r>
        <w:rPr>
          <w:rFonts w:hint="eastAsia" w:hAnsi="仿宋"/>
          <w:szCs w:val="30"/>
        </w:rPr>
        <w:t>房屋验收方面，各县（区）对房屋验收标准不一，无统一的验收内容、标尺。 项目前期准备工作的不充分，造成市扶贫办和县（区）扶贫办难以对资金进行有效监督管理。</w:t>
      </w:r>
    </w:p>
    <w:p>
      <w:pPr>
        <w:spacing w:line="579" w:lineRule="exact"/>
        <w:ind w:firstLine="632"/>
        <w:outlineLvl w:val="1"/>
        <w:rPr>
          <w:rFonts w:hAnsi="仿宋"/>
          <w:b/>
          <w:bCs/>
          <w:color w:val="000000" w:themeColor="text1"/>
          <w:szCs w:val="30"/>
          <w14:textFill>
            <w14:solidFill>
              <w14:schemeClr w14:val="tx1"/>
            </w14:solidFill>
          </w14:textFill>
        </w:rPr>
      </w:pPr>
      <w:bookmarkStart w:id="133" w:name="_Toc27338_WPSOffice_Level2"/>
      <w:bookmarkStart w:id="134" w:name="_Toc17880_WPSOffice_Level2"/>
      <w:bookmarkStart w:id="135" w:name="_Toc20637_WPSOffice_Level2"/>
      <w:r>
        <w:rPr>
          <w:rFonts w:hint="eastAsia" w:hAnsi="仿宋"/>
          <w:b/>
          <w:bCs/>
          <w:color w:val="000000" w:themeColor="text1"/>
          <w:szCs w:val="30"/>
          <w14:textFill>
            <w14:solidFill>
              <w14:schemeClr w14:val="tx1"/>
            </w14:solidFill>
          </w14:textFill>
        </w:rPr>
        <w:t>（三）制度建设有待完善，监督检查深度广度不够</w:t>
      </w:r>
      <w:bookmarkEnd w:id="133"/>
      <w:bookmarkEnd w:id="134"/>
      <w:bookmarkEnd w:id="135"/>
    </w:p>
    <w:p>
      <w:pPr>
        <w:ind w:firstLine="630" w:firstLineChars="200"/>
      </w:pPr>
      <w:r>
        <w:rPr>
          <w:rFonts w:hint="eastAsia"/>
        </w:rPr>
        <w:t>项目绩效管理、监督检查及档案管理执行不到位，除江川区和新平县外，其他县（区）未建立健全相关制度，均存在较大缺失，如，未对项目管理实行责任人负责制，未提供适用于该项目的资金管理办法，无项目的绩效管理办法和档案管理制度等。</w:t>
      </w:r>
    </w:p>
    <w:p>
      <w:pPr>
        <w:ind w:firstLine="630" w:firstLineChars="200"/>
      </w:pPr>
      <w:r>
        <w:rPr>
          <w:rFonts w:hint="eastAsia"/>
        </w:rPr>
        <w:t>项目绩效管理方面，除江川区和新平县外，市县两级项目主管部门未建立绩效评价机制，未建立财政资金绩效评价指标体系，未对项目的产出和社会效益等绩效进行绩效自评、事中跟踪评价和事后绩效考核，未能及时纠正绩效运行的偏差以促进项目绩效目标的实现。</w:t>
      </w:r>
      <w:bookmarkStart w:id="157" w:name="_GoBack"/>
      <w:r>
        <w:rPr>
          <w:rFonts w:hint="eastAsia"/>
        </w:rPr>
        <w:t>造成扶贫管理机制体制运行不畅，项目主管部门对项目无有效管理。</w:t>
      </w:r>
    </w:p>
    <w:bookmarkEnd w:id="157"/>
    <w:p>
      <w:pPr>
        <w:ind w:firstLine="630" w:firstLineChars="200"/>
      </w:pPr>
      <w:r>
        <w:rPr>
          <w:rFonts w:hint="eastAsia"/>
        </w:rPr>
        <w:t>监督检查方面，除新平县外，市县两级扶贫部门未按项目实施方案要求切实有效履行监督检查责任，未形成“每季一督查、半年一检查、全年一考核”监督检查痕迹。市县扶贫部门的督查多数为镶嵌在“四类重点对象”农村危房改造检查下的检查小项或是顺带检查，虽开展一定程度的检查，但未有效开展对本项目的专项监督检查和实地检查，未形成系统地立体地全方位督查模式，检查未达到应有的深度和广度，检查力度不够，间接导致多数县（区）扶贫部门对本项目的整体情况不完全了解，知之甚少的现象。从而未能及时发现上述提及的资金大量结余、工程施工存在缺陷和重建房屋面积超标等问题。</w:t>
      </w:r>
    </w:p>
    <w:p>
      <w:pPr>
        <w:ind w:firstLine="630" w:firstLineChars="200"/>
      </w:pPr>
      <w:r>
        <w:rPr>
          <w:rFonts w:hint="eastAsia"/>
        </w:rPr>
        <w:t>档案管理方面，除易门县外，其他市县两级扶贫部门对本项目档案资料未进行规范存档，主要表现在：建档立卡贫困户和“直过民族”户危房改造“一户一档”档案资料、补助资金兑付情况和工程施工资料等未集中至县扶贫办统一备份存档；项目档案资料不完整、不齐全、不规范。</w:t>
      </w:r>
    </w:p>
    <w:p>
      <w:pPr>
        <w:spacing w:line="579" w:lineRule="exact"/>
        <w:ind w:firstLine="630" w:firstLineChars="200"/>
        <w:outlineLvl w:val="0"/>
        <w:rPr>
          <w:rFonts w:ascii="黑体" w:hAnsi="宋体" w:eastAsia="黑体" w:cs="宋体"/>
          <w:szCs w:val="30"/>
        </w:rPr>
      </w:pPr>
      <w:bookmarkStart w:id="136" w:name="_Toc1568_WPSOffice_Level1"/>
      <w:bookmarkStart w:id="137" w:name="_Toc13127684"/>
      <w:r>
        <w:rPr>
          <w:rFonts w:hint="eastAsia" w:ascii="黑体" w:hAnsi="宋体" w:eastAsia="黑体" w:cs="宋体"/>
          <w:szCs w:val="30"/>
        </w:rPr>
        <w:t>八、建议</w:t>
      </w:r>
      <w:bookmarkEnd w:id="136"/>
      <w:bookmarkEnd w:id="137"/>
    </w:p>
    <w:p>
      <w:pPr>
        <w:spacing w:line="590" w:lineRule="exact"/>
        <w:ind w:left="420" w:firstLine="327" w:firstLineChars="100"/>
        <w:outlineLvl w:val="0"/>
        <w:rPr>
          <w:rFonts w:ascii="楷体" w:hAnsi="楷体" w:eastAsia="楷体" w:cs="楷体"/>
          <w:spacing w:val="6"/>
          <w:kern w:val="0"/>
          <w:szCs w:val="30"/>
        </w:rPr>
      </w:pPr>
      <w:bookmarkStart w:id="138" w:name="_Toc20181_WPSOffice_Level2"/>
      <w:bookmarkStart w:id="139" w:name="_Toc13127685"/>
      <w:r>
        <w:rPr>
          <w:rFonts w:hint="eastAsia" w:ascii="楷体" w:hAnsi="楷体" w:eastAsia="楷体" w:cs="楷体"/>
          <w:spacing w:val="6"/>
          <w:kern w:val="0"/>
          <w:szCs w:val="30"/>
        </w:rPr>
        <w:t>（一）及时收回项目结余资金，加强资金</w:t>
      </w:r>
      <w:r>
        <w:rPr>
          <w:rFonts w:hint="eastAsia" w:ascii="楷体" w:hAnsi="楷体" w:eastAsia="楷体" w:cs="楷体"/>
          <w:spacing w:val="6"/>
          <w:kern w:val="0"/>
          <w:szCs w:val="30"/>
          <w:lang w:val="en-US" w:eastAsia="zh-CN"/>
        </w:rPr>
        <w:t>绩效管理</w:t>
      </w:r>
      <w:r>
        <w:rPr>
          <w:rFonts w:hint="eastAsia" w:ascii="楷体" w:hAnsi="楷体" w:eastAsia="楷体" w:cs="楷体"/>
          <w:spacing w:val="6"/>
          <w:kern w:val="0"/>
          <w:szCs w:val="30"/>
        </w:rPr>
        <w:t>。</w:t>
      </w:r>
      <w:bookmarkEnd w:id="138"/>
    </w:p>
    <w:p>
      <w:pPr>
        <w:ind w:firstLine="630" w:firstLineChars="200"/>
      </w:pPr>
      <w:r>
        <w:rPr>
          <w:rFonts w:hint="eastAsia"/>
        </w:rPr>
        <w:t>1.建议项目主管部门严格执行扶贫相关政策，进一步核实确认项目实施整体情况、已发放补助金对象和未兑付资金；对已核实结余资金，财政部门应及时收回本项目结余资金，避免财政资金闲置和浪费。</w:t>
      </w:r>
    </w:p>
    <w:p>
      <w:pPr>
        <w:ind w:firstLine="630" w:firstLineChars="200"/>
      </w:pPr>
      <w:r>
        <w:rPr>
          <w:rFonts w:hint="eastAsia"/>
          <w:lang w:val="en-US" w:eastAsia="zh-CN"/>
        </w:rPr>
        <w:t>2.建议项目主管部门加强资金绩效管理。项目主管部门应强化绩效管理意识，提高绩效管理水平，有效提高资金使用绩效。 一是根据资金实际使用情况科学设定绩效目标。二是完善资金整个绩效管理过程，制定清晰的资金使用管理办法指导分年度分阶段预算资金使用需求，同时加强跟踪与监管，保证整体资金使用有所依据、有所监控。三是前期预算申报应更加精细化，在资金分配等方面加强论证，资金分配下去，下级单位要根据资金分配制定相应使用计划，督促其加快资金支付进度，防止资金沉淀。</w:t>
      </w:r>
    </w:p>
    <w:p>
      <w:pPr>
        <w:spacing w:line="579" w:lineRule="exact"/>
        <w:ind w:firstLine="563" w:firstLineChars="179"/>
        <w:rPr>
          <w:rFonts w:hint="eastAsia"/>
        </w:rPr>
      </w:pPr>
      <w:r>
        <w:rPr>
          <w:rFonts w:hint="eastAsia"/>
        </w:rPr>
        <w:t>3.建议项目主管部门提高具体业务人员的业务素质和管理水平，适时组织全市扶贫系统扶贫资金管理人员，开展加强财政专项扶贫资金监管专题培训，从资金分配方法、管理方式、资金安排、支出范围、资金监管、支出方向、地方投入等方面进行解读，切实解决资金使用及时跟踪不力、监管水平不高、解决问题能力不强等一系列问题。</w:t>
      </w:r>
    </w:p>
    <w:p>
      <w:pPr>
        <w:spacing w:line="579" w:lineRule="exact"/>
        <w:ind w:firstLine="654" w:firstLineChars="200"/>
        <w:outlineLvl w:val="0"/>
        <w:rPr>
          <w:rFonts w:ascii="楷体" w:hAnsi="楷体" w:eastAsia="楷体"/>
          <w:szCs w:val="30"/>
        </w:rPr>
      </w:pPr>
      <w:bookmarkStart w:id="140" w:name="_Toc2238_WPSOffice_Level2"/>
      <w:r>
        <w:rPr>
          <w:rFonts w:hint="eastAsia" w:ascii="楷体" w:hAnsi="楷体" w:eastAsia="楷体" w:cs="楷体"/>
          <w:spacing w:val="6"/>
          <w:kern w:val="0"/>
          <w:szCs w:val="30"/>
        </w:rPr>
        <w:t>（二）</w:t>
      </w:r>
      <w:r>
        <w:rPr>
          <w:rFonts w:hint="eastAsia" w:ascii="楷体" w:hAnsi="楷体" w:eastAsia="楷体"/>
          <w:szCs w:val="30"/>
        </w:rPr>
        <w:t>提高项目管理有效性</w:t>
      </w:r>
      <w:r>
        <w:rPr>
          <w:rFonts w:hint="eastAsia" w:ascii="楷体" w:hAnsi="楷体" w:eastAsia="楷体"/>
          <w:szCs w:val="30"/>
          <w:lang w:eastAsia="zh-CN"/>
        </w:rPr>
        <w:t>，</w:t>
      </w:r>
      <w:r>
        <w:rPr>
          <w:rFonts w:hint="eastAsia" w:ascii="楷体" w:hAnsi="楷体" w:eastAsia="楷体" w:cs="楷体"/>
          <w:spacing w:val="6"/>
          <w:kern w:val="0"/>
          <w:szCs w:val="30"/>
        </w:rPr>
        <w:t>积极项目整改工作，</w:t>
      </w:r>
      <w:r>
        <w:rPr>
          <w:rFonts w:hint="eastAsia" w:ascii="楷体" w:hAnsi="楷体" w:eastAsia="楷体"/>
          <w:szCs w:val="30"/>
        </w:rPr>
        <w:t>做实基础工作</w:t>
      </w:r>
      <w:bookmarkEnd w:id="140"/>
    </w:p>
    <w:p>
      <w:pPr>
        <w:spacing w:line="579" w:lineRule="exact"/>
        <w:ind w:firstLine="630" w:firstLineChars="200"/>
      </w:pPr>
      <w:r>
        <w:rPr>
          <w:rFonts w:hint="eastAsia"/>
        </w:rPr>
        <w:t>1.建议项目主管部门做好本项目问题整改工作，亡羊补牢。遵循国家相关法律法规，规范本项目整村推进和危房改造工程施工结算审计、项目验收程序、方式方法和标准。建立健全相关管理制度、监督检查机制和会计核算，尽可能降低财政资金闲置、占用公共资源带来的不利因素。</w:t>
      </w:r>
    </w:p>
    <w:p>
      <w:pPr>
        <w:spacing w:line="579" w:lineRule="exact"/>
        <w:ind w:firstLine="630" w:firstLineChars="200"/>
      </w:pPr>
      <w:r>
        <w:rPr>
          <w:rFonts w:hint="eastAsia"/>
        </w:rPr>
        <w:t>2.立足实际，有效</w:t>
      </w:r>
      <w:r>
        <w:rPr>
          <w:rFonts w:hint="eastAsia" w:hAnsi="仿宋"/>
          <w:szCs w:val="30"/>
        </w:rPr>
        <w:t>统筹协调考虑各部门扶贫政策</w:t>
      </w:r>
      <w:r>
        <w:rPr>
          <w:rFonts w:hint="eastAsia"/>
        </w:rPr>
        <w:t>。对于今后开展的项目，</w:t>
      </w:r>
      <w:r>
        <w:rPr>
          <w:rFonts w:hint="eastAsia" w:hAnsi="仿宋"/>
          <w:szCs w:val="30"/>
        </w:rPr>
        <w:t>建议项目主管部门</w:t>
      </w:r>
      <w:r>
        <w:rPr>
          <w:rFonts w:hint="eastAsia"/>
        </w:rPr>
        <w:t>加强横向联系，与同级相关部门联动抓好落实，建立跨部门信息交换机制和数据共享机制。</w:t>
      </w:r>
    </w:p>
    <w:p>
      <w:pPr>
        <w:spacing w:line="579" w:lineRule="exact"/>
        <w:ind w:firstLine="630" w:firstLineChars="200"/>
      </w:pPr>
      <w:r>
        <w:rPr>
          <w:rFonts w:hint="eastAsia"/>
        </w:rPr>
        <w:t>3.做实基础工作，提高项目实施成效。在前期准备阶段，应对项目进行</w:t>
      </w:r>
      <w:r>
        <w:rPr>
          <w:rFonts w:hint="eastAsia" w:hAnsi="仿宋"/>
          <w:color w:val="000000" w:themeColor="text1"/>
          <w:szCs w:val="30"/>
          <w14:textFill>
            <w14:solidFill>
              <w14:schemeClr w14:val="tx1"/>
            </w14:solidFill>
          </w14:textFill>
        </w:rPr>
        <w:t>专家论证和必要性分析，</w:t>
      </w:r>
      <w:r>
        <w:rPr>
          <w:rFonts w:hint="eastAsia"/>
        </w:rPr>
        <w:t>明确</w:t>
      </w:r>
      <w:r>
        <w:rPr>
          <w:rFonts w:hint="eastAsia" w:hAnsi="仿宋"/>
          <w:color w:val="000000" w:themeColor="text1"/>
          <w:szCs w:val="30"/>
          <w14:textFill>
            <w14:solidFill>
              <w14:schemeClr w14:val="tx1"/>
            </w14:solidFill>
          </w14:textFill>
        </w:rPr>
        <w:t>项目的实施部门、实施方式、项目管理、资金管理、施工管理、监督管理、验收标尺、保障机制、建后管护等方面，夯实基础工作。</w:t>
      </w:r>
    </w:p>
    <w:p>
      <w:pPr>
        <w:spacing w:line="579" w:lineRule="exact"/>
        <w:ind w:firstLine="654" w:firstLineChars="200"/>
        <w:outlineLvl w:val="0"/>
        <w:rPr>
          <w:rFonts w:hint="eastAsia" w:ascii="楷体" w:hAnsi="楷体" w:eastAsia="楷体" w:cs="楷体"/>
          <w:spacing w:val="6"/>
          <w:kern w:val="0"/>
          <w:szCs w:val="30"/>
        </w:rPr>
      </w:pPr>
      <w:bookmarkStart w:id="141" w:name="_Toc18050_WPSOffice_Level2"/>
      <w:r>
        <w:rPr>
          <w:rFonts w:hint="eastAsia" w:ascii="楷体" w:hAnsi="楷体" w:eastAsia="楷体" w:cs="楷体"/>
          <w:spacing w:val="6"/>
          <w:kern w:val="0"/>
          <w:szCs w:val="30"/>
        </w:rPr>
        <w:t>（三）加强监督检查的深度和广度</w:t>
      </w:r>
      <w:bookmarkEnd w:id="141"/>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一是</w:t>
      </w:r>
      <w:r>
        <w:rPr>
          <w:rFonts w:hint="eastAsia" w:hAnsi="仿宋"/>
          <w:szCs w:val="30"/>
        </w:rPr>
        <w:t>项目主管部门对于</w:t>
      </w:r>
      <w:r>
        <w:rPr>
          <w:rFonts w:hint="eastAsia"/>
        </w:rPr>
        <w:t>今后开展项目，应</w:t>
      </w:r>
      <w:r>
        <w:rPr>
          <w:rFonts w:hint="eastAsia" w:hAnsi="仿宋"/>
          <w:color w:val="000000" w:themeColor="text1"/>
          <w:szCs w:val="30"/>
          <w14:textFill>
            <w14:solidFill>
              <w14:schemeClr w14:val="tx1"/>
            </w14:solidFill>
          </w14:textFill>
        </w:rPr>
        <w:t>切实有效履行监督检查责任，形成系统地立体地全方位督查模式，优化检查工作，创新检查模式，使检查工作深度和广度向纵深发展。二是项目主管部门应在资金拨付后主动跟进，及时掌握项目资金拨付、资金使用、项目实施的情况；加强资金拨付后的监督管理，指导项目实施部门合理使用财政资金，对项目实施中遇到的实际困难提供有效的指导和协调，保证项目顺利开展。</w:t>
      </w:r>
    </w:p>
    <w:bookmarkEnd w:id="139"/>
    <w:p>
      <w:pPr>
        <w:spacing w:line="579" w:lineRule="exact"/>
        <w:ind w:firstLine="630" w:firstLineChars="200"/>
        <w:rPr>
          <w:rFonts w:hAnsi="仿宋"/>
          <w:szCs w:val="30"/>
        </w:rPr>
      </w:pPr>
      <w:bookmarkStart w:id="142" w:name="_Toc32639_WPSOffice_Level1"/>
    </w:p>
    <w:p>
      <w:pPr>
        <w:spacing w:line="579" w:lineRule="exact"/>
        <w:ind w:firstLine="630" w:firstLineChars="200"/>
        <w:rPr>
          <w:rFonts w:hAnsi="仿宋"/>
          <w:szCs w:val="30"/>
        </w:rPr>
      </w:pPr>
      <w:bookmarkStart w:id="143" w:name="_Toc15172_WPSOffice_Level1"/>
      <w:bookmarkStart w:id="144" w:name="_Toc4349_WPSOffice_Level1"/>
      <w:bookmarkStart w:id="145" w:name="_Toc12459_WPSOffice_Level1"/>
      <w:r>
        <w:rPr>
          <w:rFonts w:hint="eastAsia" w:hAnsi="仿宋"/>
          <w:szCs w:val="30"/>
        </w:rPr>
        <w:t>附件：1.绩效再评价指标表及打分总表；</w:t>
      </w:r>
      <w:bookmarkEnd w:id="142"/>
      <w:bookmarkEnd w:id="143"/>
      <w:bookmarkEnd w:id="144"/>
      <w:bookmarkEnd w:id="145"/>
    </w:p>
    <w:p>
      <w:pPr>
        <w:spacing w:line="579" w:lineRule="exact"/>
        <w:ind w:firstLine="630" w:firstLineChars="200"/>
        <w:rPr>
          <w:rFonts w:hAnsi="仿宋"/>
          <w:szCs w:val="30"/>
        </w:rPr>
      </w:pPr>
      <w:r>
        <w:rPr>
          <w:rFonts w:hint="eastAsia" w:hAnsi="仿宋"/>
          <w:szCs w:val="30"/>
        </w:rPr>
        <w:t xml:space="preserve">      </w:t>
      </w:r>
      <w:bookmarkStart w:id="146" w:name="_Toc8408_WPSOffice_Level1"/>
      <w:bookmarkStart w:id="147" w:name="_Toc31583_WPSOffice_Level1"/>
      <w:r>
        <w:rPr>
          <w:rFonts w:hint="eastAsia" w:hAnsi="仿宋"/>
          <w:szCs w:val="30"/>
        </w:rPr>
        <w:t>2.绩效再评价指标表及打分分表；</w:t>
      </w:r>
      <w:bookmarkEnd w:id="146"/>
      <w:bookmarkEnd w:id="147"/>
    </w:p>
    <w:p>
      <w:pPr>
        <w:spacing w:line="579" w:lineRule="exact"/>
        <w:ind w:firstLine="1575" w:firstLineChars="500"/>
        <w:rPr>
          <w:rFonts w:hAnsi="仿宋"/>
          <w:szCs w:val="30"/>
        </w:rPr>
      </w:pPr>
      <w:bookmarkStart w:id="148" w:name="_Toc28762"/>
      <w:bookmarkStart w:id="149" w:name="_Toc1641_WPSOffice_Level2"/>
      <w:bookmarkStart w:id="150" w:name="_Toc28732"/>
      <w:bookmarkStart w:id="151" w:name="_Toc4849_WPSOffice_Level1"/>
      <w:bookmarkStart w:id="152" w:name="_Toc18548_WPSOffice_Level1"/>
      <w:r>
        <w:rPr>
          <w:rFonts w:hint="eastAsia" w:hAnsi="仿宋"/>
          <w:szCs w:val="30"/>
        </w:rPr>
        <w:t>3.</w:t>
      </w:r>
      <w:bookmarkEnd w:id="148"/>
      <w:bookmarkEnd w:id="149"/>
      <w:bookmarkEnd w:id="150"/>
      <w:bookmarkStart w:id="153" w:name="_Toc15268_WPSOffice_Level2"/>
      <w:r>
        <w:rPr>
          <w:rFonts w:hint="eastAsia" w:hAnsi="仿宋"/>
          <w:szCs w:val="30"/>
        </w:rPr>
        <w:t>项目资金统计表；</w:t>
      </w:r>
      <w:bookmarkEnd w:id="151"/>
      <w:bookmarkEnd w:id="152"/>
    </w:p>
    <w:p>
      <w:pPr>
        <w:spacing w:line="579" w:lineRule="exact"/>
        <w:ind w:firstLine="1575" w:firstLineChars="500"/>
        <w:rPr>
          <w:rFonts w:hAnsi="仿宋"/>
          <w:szCs w:val="30"/>
        </w:rPr>
      </w:pPr>
      <w:bookmarkStart w:id="154" w:name="_Toc15221_WPSOffice_Level1"/>
      <w:bookmarkStart w:id="155" w:name="_Toc28459_WPSOffice_Level2"/>
      <w:bookmarkStart w:id="156" w:name="_Toc23987_WPSOffice_Level2"/>
      <w:r>
        <w:rPr>
          <w:rFonts w:hint="eastAsia" w:hAnsi="仿宋"/>
          <w:szCs w:val="30"/>
        </w:rPr>
        <w:t>4.2018年各县（区）项目数据采集表</w:t>
      </w:r>
      <w:bookmarkEnd w:id="153"/>
      <w:r>
        <w:rPr>
          <w:rFonts w:hint="eastAsia" w:hAnsi="仿宋"/>
          <w:szCs w:val="30"/>
        </w:rPr>
        <w:t>；</w:t>
      </w:r>
      <w:bookmarkEnd w:id="154"/>
      <w:bookmarkEnd w:id="155"/>
      <w:bookmarkEnd w:id="156"/>
    </w:p>
    <w:p>
      <w:pPr>
        <w:numPr>
          <w:ilvl w:val="0"/>
          <w:numId w:val="0"/>
        </w:numPr>
        <w:spacing w:line="579" w:lineRule="exact"/>
        <w:ind w:firstLine="1575" w:firstLineChars="500"/>
        <w:rPr>
          <w:rFonts w:hint="eastAsia" w:hAnsi="仿宋" w:eastAsia="仿宋"/>
          <w:szCs w:val="30"/>
          <w:lang w:eastAsia="zh-CN"/>
        </w:rPr>
      </w:pPr>
      <w:r>
        <w:rPr>
          <w:rFonts w:hint="eastAsia" w:hAnsi="仿宋"/>
          <w:szCs w:val="30"/>
          <w:lang w:val="en-US" w:eastAsia="zh-CN"/>
        </w:rPr>
        <w:t>5.</w:t>
      </w:r>
      <w:r>
        <w:rPr>
          <w:rFonts w:hint="eastAsia" w:hAnsi="仿宋"/>
          <w:szCs w:val="30"/>
        </w:rPr>
        <w:t>绩效再评价问卷调查结果分布表</w:t>
      </w:r>
      <w:r>
        <w:rPr>
          <w:rFonts w:hint="eastAsia" w:hAnsi="仿宋"/>
          <w:szCs w:val="30"/>
          <w:lang w:eastAsia="zh-CN"/>
        </w:rPr>
        <w:t>；</w:t>
      </w:r>
    </w:p>
    <w:p>
      <w:pPr>
        <w:numPr>
          <w:ilvl w:val="0"/>
          <w:numId w:val="0"/>
        </w:numPr>
        <w:spacing w:line="579" w:lineRule="exact"/>
        <w:ind w:firstLine="1575" w:firstLineChars="500"/>
        <w:rPr>
          <w:rFonts w:hint="eastAsia" w:hAnsi="仿宋"/>
          <w:szCs w:val="30"/>
        </w:rPr>
      </w:pPr>
      <w:r>
        <w:rPr>
          <w:rFonts w:hint="eastAsia" w:hAnsi="仿宋"/>
          <w:szCs w:val="30"/>
          <w:lang w:val="en-US" w:eastAsia="zh-CN"/>
        </w:rPr>
        <w:t>6.工程项目审核情况。</w:t>
      </w:r>
    </w:p>
    <w:p>
      <w:pPr>
        <w:spacing w:line="579" w:lineRule="exact"/>
        <w:ind w:firstLine="910" w:firstLineChars="200"/>
        <w:rPr>
          <w:rFonts w:hint="eastAsia" w:ascii="方正小标宋简体" w:hAnsi="方正小标宋简体" w:eastAsia="方正小标宋简体" w:cs="方正小标宋简体"/>
          <w:kern w:val="40"/>
          <w:sz w:val="44"/>
          <w:szCs w:val="44"/>
        </w:rPr>
        <w:sectPr>
          <w:footerReference r:id="rId5" w:type="default"/>
          <w:footerReference r:id="rId6" w:type="even"/>
          <w:pgSz w:w="11906" w:h="16838"/>
          <w:pgMar w:top="2098" w:right="1474" w:bottom="1985" w:left="1588" w:header="851" w:footer="1474" w:gutter="0"/>
          <w:pgNumType w:start="1"/>
          <w:cols w:space="425" w:num="1"/>
          <w:docGrid w:type="linesAndChars" w:linePitch="579" w:charSpace="3247"/>
        </w:sectPr>
      </w:pPr>
    </w:p>
    <w:bookmarkEnd w:id="33"/>
    <w:p>
      <w:pPr>
        <w:numPr>
          <w:ilvl w:val="0"/>
          <w:numId w:val="0"/>
        </w:numPr>
        <w:spacing w:line="579" w:lineRule="exact"/>
        <w:ind w:firstLine="1575" w:firstLineChars="500"/>
        <w:rPr>
          <w:rFonts w:hint="eastAsia" w:hAnsi="仿宋"/>
          <w:szCs w:val="30"/>
        </w:rPr>
      </w:pPr>
    </w:p>
    <w:sectPr>
      <w:footerReference r:id="rId7" w:type="default"/>
      <w:footerReference r:id="rId8" w:type="even"/>
      <w:pgSz w:w="11906" w:h="16838"/>
      <w:pgMar w:top="2098" w:right="1474" w:bottom="1985" w:left="1588" w:header="851" w:footer="1474" w:gutter="0"/>
      <w:pgNumType w:start="5"/>
      <w:cols w:space="425" w:num="1"/>
      <w:docGrid w:type="linesAndChars" w:linePitch="579"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bordersDoNotSurroundHeader w:val="0"/>
  <w:bordersDoNotSurroundFooter w:val="0"/>
  <w:documentProtection w:enforcement="0"/>
  <w:defaultTabStop w:val="420"/>
  <w:evenAndOddHeaders w:val="1"/>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D8D"/>
    <w:rsid w:val="00001BFA"/>
    <w:rsid w:val="000027B8"/>
    <w:rsid w:val="00003457"/>
    <w:rsid w:val="00003E1A"/>
    <w:rsid w:val="00005149"/>
    <w:rsid w:val="000053D4"/>
    <w:rsid w:val="000101DC"/>
    <w:rsid w:val="000109E6"/>
    <w:rsid w:val="00011162"/>
    <w:rsid w:val="00014D0F"/>
    <w:rsid w:val="000163D2"/>
    <w:rsid w:val="00021B6D"/>
    <w:rsid w:val="00022FFA"/>
    <w:rsid w:val="00023FF0"/>
    <w:rsid w:val="000302F4"/>
    <w:rsid w:val="00030BA6"/>
    <w:rsid w:val="000317FF"/>
    <w:rsid w:val="00032A27"/>
    <w:rsid w:val="00032BAE"/>
    <w:rsid w:val="0003308B"/>
    <w:rsid w:val="000377E6"/>
    <w:rsid w:val="00037F46"/>
    <w:rsid w:val="0004014B"/>
    <w:rsid w:val="00044EEC"/>
    <w:rsid w:val="00046291"/>
    <w:rsid w:val="00046463"/>
    <w:rsid w:val="00050813"/>
    <w:rsid w:val="00051C47"/>
    <w:rsid w:val="000552A2"/>
    <w:rsid w:val="0005706D"/>
    <w:rsid w:val="000645E3"/>
    <w:rsid w:val="00066943"/>
    <w:rsid w:val="00066BF2"/>
    <w:rsid w:val="00067CB1"/>
    <w:rsid w:val="00073C73"/>
    <w:rsid w:val="00074F2C"/>
    <w:rsid w:val="00075831"/>
    <w:rsid w:val="000761D2"/>
    <w:rsid w:val="00077233"/>
    <w:rsid w:val="00077515"/>
    <w:rsid w:val="0008006D"/>
    <w:rsid w:val="0008270C"/>
    <w:rsid w:val="00082DC6"/>
    <w:rsid w:val="000910C9"/>
    <w:rsid w:val="000913F5"/>
    <w:rsid w:val="000926D7"/>
    <w:rsid w:val="00093656"/>
    <w:rsid w:val="0009432E"/>
    <w:rsid w:val="00095539"/>
    <w:rsid w:val="00096308"/>
    <w:rsid w:val="000A015E"/>
    <w:rsid w:val="000A380E"/>
    <w:rsid w:val="000A38E3"/>
    <w:rsid w:val="000A3ED9"/>
    <w:rsid w:val="000A4562"/>
    <w:rsid w:val="000A60AC"/>
    <w:rsid w:val="000A6455"/>
    <w:rsid w:val="000A7D6E"/>
    <w:rsid w:val="000B6083"/>
    <w:rsid w:val="000C04DE"/>
    <w:rsid w:val="000C0984"/>
    <w:rsid w:val="000C1909"/>
    <w:rsid w:val="000C3CE0"/>
    <w:rsid w:val="000C5033"/>
    <w:rsid w:val="000D142D"/>
    <w:rsid w:val="000D1517"/>
    <w:rsid w:val="000D71DD"/>
    <w:rsid w:val="000E21D8"/>
    <w:rsid w:val="000E6F75"/>
    <w:rsid w:val="000F145E"/>
    <w:rsid w:val="000F1534"/>
    <w:rsid w:val="000F3E60"/>
    <w:rsid w:val="000F41C4"/>
    <w:rsid w:val="000F46ED"/>
    <w:rsid w:val="000F6595"/>
    <w:rsid w:val="0010135D"/>
    <w:rsid w:val="0010585D"/>
    <w:rsid w:val="00106A8B"/>
    <w:rsid w:val="001075E2"/>
    <w:rsid w:val="00110588"/>
    <w:rsid w:val="001114F0"/>
    <w:rsid w:val="001135E9"/>
    <w:rsid w:val="00113799"/>
    <w:rsid w:val="00114580"/>
    <w:rsid w:val="001146BA"/>
    <w:rsid w:val="00114D7E"/>
    <w:rsid w:val="00116445"/>
    <w:rsid w:val="001177CC"/>
    <w:rsid w:val="0011798E"/>
    <w:rsid w:val="00122361"/>
    <w:rsid w:val="00124FFE"/>
    <w:rsid w:val="00125D9C"/>
    <w:rsid w:val="001269DA"/>
    <w:rsid w:val="001308E4"/>
    <w:rsid w:val="00132AF0"/>
    <w:rsid w:val="00140B8B"/>
    <w:rsid w:val="00142242"/>
    <w:rsid w:val="001439E1"/>
    <w:rsid w:val="00147856"/>
    <w:rsid w:val="00147F84"/>
    <w:rsid w:val="0015090D"/>
    <w:rsid w:val="00150F3E"/>
    <w:rsid w:val="001513E5"/>
    <w:rsid w:val="00152B2B"/>
    <w:rsid w:val="001537D8"/>
    <w:rsid w:val="00153BC6"/>
    <w:rsid w:val="0015564C"/>
    <w:rsid w:val="00155A7C"/>
    <w:rsid w:val="00157E96"/>
    <w:rsid w:val="001611A5"/>
    <w:rsid w:val="00161C3D"/>
    <w:rsid w:val="0016290B"/>
    <w:rsid w:val="00162B90"/>
    <w:rsid w:val="0016530D"/>
    <w:rsid w:val="00166F2B"/>
    <w:rsid w:val="00167E57"/>
    <w:rsid w:val="001722F7"/>
    <w:rsid w:val="0017231D"/>
    <w:rsid w:val="00175976"/>
    <w:rsid w:val="00177995"/>
    <w:rsid w:val="00182613"/>
    <w:rsid w:val="00182D21"/>
    <w:rsid w:val="001836BB"/>
    <w:rsid w:val="00183D89"/>
    <w:rsid w:val="001844AE"/>
    <w:rsid w:val="00184577"/>
    <w:rsid w:val="0018750F"/>
    <w:rsid w:val="0018788E"/>
    <w:rsid w:val="001905A5"/>
    <w:rsid w:val="0019172A"/>
    <w:rsid w:val="001A2410"/>
    <w:rsid w:val="001A2D6F"/>
    <w:rsid w:val="001A644B"/>
    <w:rsid w:val="001A77EE"/>
    <w:rsid w:val="001A7B0F"/>
    <w:rsid w:val="001B071D"/>
    <w:rsid w:val="001B2588"/>
    <w:rsid w:val="001B4784"/>
    <w:rsid w:val="001C277C"/>
    <w:rsid w:val="001C727B"/>
    <w:rsid w:val="001D3892"/>
    <w:rsid w:val="001D4E03"/>
    <w:rsid w:val="001D58D7"/>
    <w:rsid w:val="001D5D8D"/>
    <w:rsid w:val="001E07CC"/>
    <w:rsid w:val="001E3F67"/>
    <w:rsid w:val="001E410D"/>
    <w:rsid w:val="001E6E29"/>
    <w:rsid w:val="001E713D"/>
    <w:rsid w:val="001F1285"/>
    <w:rsid w:val="001F1844"/>
    <w:rsid w:val="001F1E4B"/>
    <w:rsid w:val="001F2FC0"/>
    <w:rsid w:val="001F3638"/>
    <w:rsid w:val="001F46E7"/>
    <w:rsid w:val="001F512C"/>
    <w:rsid w:val="001F566D"/>
    <w:rsid w:val="00200263"/>
    <w:rsid w:val="00201C2D"/>
    <w:rsid w:val="002026DD"/>
    <w:rsid w:val="002073C9"/>
    <w:rsid w:val="002115B2"/>
    <w:rsid w:val="00212037"/>
    <w:rsid w:val="00212CCB"/>
    <w:rsid w:val="00212FA7"/>
    <w:rsid w:val="00217869"/>
    <w:rsid w:val="0021797F"/>
    <w:rsid w:val="00217AA8"/>
    <w:rsid w:val="002229E2"/>
    <w:rsid w:val="0022365E"/>
    <w:rsid w:val="002260C9"/>
    <w:rsid w:val="00226E95"/>
    <w:rsid w:val="00227678"/>
    <w:rsid w:val="00227EAF"/>
    <w:rsid w:val="00230719"/>
    <w:rsid w:val="00230C67"/>
    <w:rsid w:val="00231677"/>
    <w:rsid w:val="00231E49"/>
    <w:rsid w:val="00232F9B"/>
    <w:rsid w:val="00235C5D"/>
    <w:rsid w:val="002422DC"/>
    <w:rsid w:val="00243F53"/>
    <w:rsid w:val="00246276"/>
    <w:rsid w:val="00251346"/>
    <w:rsid w:val="00252898"/>
    <w:rsid w:val="002532A4"/>
    <w:rsid w:val="00254804"/>
    <w:rsid w:val="00254B91"/>
    <w:rsid w:val="002554E5"/>
    <w:rsid w:val="002567E0"/>
    <w:rsid w:val="00256D4E"/>
    <w:rsid w:val="002606F4"/>
    <w:rsid w:val="00263106"/>
    <w:rsid w:val="00265F84"/>
    <w:rsid w:val="00274648"/>
    <w:rsid w:val="002754CB"/>
    <w:rsid w:val="00277ACC"/>
    <w:rsid w:val="00282CC8"/>
    <w:rsid w:val="00283F38"/>
    <w:rsid w:val="00285265"/>
    <w:rsid w:val="0028626E"/>
    <w:rsid w:val="00290595"/>
    <w:rsid w:val="002917E5"/>
    <w:rsid w:val="0029356B"/>
    <w:rsid w:val="0029734C"/>
    <w:rsid w:val="002A0048"/>
    <w:rsid w:val="002A020A"/>
    <w:rsid w:val="002A1982"/>
    <w:rsid w:val="002A1DF7"/>
    <w:rsid w:val="002A4D4A"/>
    <w:rsid w:val="002A551F"/>
    <w:rsid w:val="002A5AD2"/>
    <w:rsid w:val="002A6EAA"/>
    <w:rsid w:val="002B042F"/>
    <w:rsid w:val="002B3F00"/>
    <w:rsid w:val="002B4EA2"/>
    <w:rsid w:val="002B7B5E"/>
    <w:rsid w:val="002C222D"/>
    <w:rsid w:val="002C46F4"/>
    <w:rsid w:val="002C555C"/>
    <w:rsid w:val="002D1D67"/>
    <w:rsid w:val="002D3C45"/>
    <w:rsid w:val="002D498A"/>
    <w:rsid w:val="002D55A2"/>
    <w:rsid w:val="002D69E7"/>
    <w:rsid w:val="002E06C9"/>
    <w:rsid w:val="002E1041"/>
    <w:rsid w:val="002E1481"/>
    <w:rsid w:val="002E280F"/>
    <w:rsid w:val="002E5BDD"/>
    <w:rsid w:val="002E60CA"/>
    <w:rsid w:val="002F4221"/>
    <w:rsid w:val="002F516E"/>
    <w:rsid w:val="002F59F0"/>
    <w:rsid w:val="002F7BE7"/>
    <w:rsid w:val="00301F5D"/>
    <w:rsid w:val="003020B9"/>
    <w:rsid w:val="00304502"/>
    <w:rsid w:val="00307963"/>
    <w:rsid w:val="00307B63"/>
    <w:rsid w:val="003116BB"/>
    <w:rsid w:val="00313C52"/>
    <w:rsid w:val="00321257"/>
    <w:rsid w:val="00321FF5"/>
    <w:rsid w:val="00325719"/>
    <w:rsid w:val="003270CD"/>
    <w:rsid w:val="0032752F"/>
    <w:rsid w:val="003305B8"/>
    <w:rsid w:val="0033130B"/>
    <w:rsid w:val="00334475"/>
    <w:rsid w:val="0033489A"/>
    <w:rsid w:val="00335283"/>
    <w:rsid w:val="0033762E"/>
    <w:rsid w:val="00340862"/>
    <w:rsid w:val="00341E71"/>
    <w:rsid w:val="0034304B"/>
    <w:rsid w:val="00347579"/>
    <w:rsid w:val="00347950"/>
    <w:rsid w:val="00353796"/>
    <w:rsid w:val="0035481D"/>
    <w:rsid w:val="003568A8"/>
    <w:rsid w:val="00357576"/>
    <w:rsid w:val="0036565B"/>
    <w:rsid w:val="00365B28"/>
    <w:rsid w:val="00371BB6"/>
    <w:rsid w:val="00371CAA"/>
    <w:rsid w:val="00375AF4"/>
    <w:rsid w:val="003761AE"/>
    <w:rsid w:val="00376534"/>
    <w:rsid w:val="00376A60"/>
    <w:rsid w:val="0037792E"/>
    <w:rsid w:val="00380118"/>
    <w:rsid w:val="003807BD"/>
    <w:rsid w:val="00381F0D"/>
    <w:rsid w:val="0038336A"/>
    <w:rsid w:val="00384495"/>
    <w:rsid w:val="00390E8C"/>
    <w:rsid w:val="00392745"/>
    <w:rsid w:val="00393295"/>
    <w:rsid w:val="003953CC"/>
    <w:rsid w:val="003A028E"/>
    <w:rsid w:val="003A3987"/>
    <w:rsid w:val="003A5711"/>
    <w:rsid w:val="003A6A2A"/>
    <w:rsid w:val="003A6AB4"/>
    <w:rsid w:val="003B2603"/>
    <w:rsid w:val="003B355C"/>
    <w:rsid w:val="003B5FE1"/>
    <w:rsid w:val="003B74B5"/>
    <w:rsid w:val="003B7C42"/>
    <w:rsid w:val="003B7DD6"/>
    <w:rsid w:val="003C48D8"/>
    <w:rsid w:val="003C7765"/>
    <w:rsid w:val="003D112A"/>
    <w:rsid w:val="003D12B5"/>
    <w:rsid w:val="003D1EC9"/>
    <w:rsid w:val="003D2104"/>
    <w:rsid w:val="003D35C0"/>
    <w:rsid w:val="003D6830"/>
    <w:rsid w:val="003D7551"/>
    <w:rsid w:val="003D7D3F"/>
    <w:rsid w:val="003E0E49"/>
    <w:rsid w:val="003E28AB"/>
    <w:rsid w:val="003E37CD"/>
    <w:rsid w:val="003E3857"/>
    <w:rsid w:val="003F1515"/>
    <w:rsid w:val="003F16E7"/>
    <w:rsid w:val="003F402E"/>
    <w:rsid w:val="003F5025"/>
    <w:rsid w:val="003F6354"/>
    <w:rsid w:val="00400D06"/>
    <w:rsid w:val="0040239B"/>
    <w:rsid w:val="00402CE7"/>
    <w:rsid w:val="00405226"/>
    <w:rsid w:val="00405C75"/>
    <w:rsid w:val="00405D02"/>
    <w:rsid w:val="00406784"/>
    <w:rsid w:val="00406D6A"/>
    <w:rsid w:val="0041131E"/>
    <w:rsid w:val="00413F58"/>
    <w:rsid w:val="00417384"/>
    <w:rsid w:val="00420BEC"/>
    <w:rsid w:val="0042251D"/>
    <w:rsid w:val="00426FE5"/>
    <w:rsid w:val="004272A6"/>
    <w:rsid w:val="0043119F"/>
    <w:rsid w:val="00431231"/>
    <w:rsid w:val="00433CAA"/>
    <w:rsid w:val="00436B3B"/>
    <w:rsid w:val="00437980"/>
    <w:rsid w:val="004401ED"/>
    <w:rsid w:val="00440843"/>
    <w:rsid w:val="0044349C"/>
    <w:rsid w:val="0044354E"/>
    <w:rsid w:val="00452585"/>
    <w:rsid w:val="00452895"/>
    <w:rsid w:val="00453319"/>
    <w:rsid w:val="004542C8"/>
    <w:rsid w:val="004549D1"/>
    <w:rsid w:val="00456E06"/>
    <w:rsid w:val="00457099"/>
    <w:rsid w:val="00460E4C"/>
    <w:rsid w:val="00460FB7"/>
    <w:rsid w:val="00462343"/>
    <w:rsid w:val="00464A91"/>
    <w:rsid w:val="00465B8C"/>
    <w:rsid w:val="004671F2"/>
    <w:rsid w:val="00470EA3"/>
    <w:rsid w:val="00470FA1"/>
    <w:rsid w:val="00472258"/>
    <w:rsid w:val="00474787"/>
    <w:rsid w:val="00474E2B"/>
    <w:rsid w:val="0048081D"/>
    <w:rsid w:val="0048089A"/>
    <w:rsid w:val="004811D4"/>
    <w:rsid w:val="004839EA"/>
    <w:rsid w:val="00484146"/>
    <w:rsid w:val="00484612"/>
    <w:rsid w:val="004860CD"/>
    <w:rsid w:val="004866EA"/>
    <w:rsid w:val="00492B6C"/>
    <w:rsid w:val="004949AC"/>
    <w:rsid w:val="00495C2A"/>
    <w:rsid w:val="004960A9"/>
    <w:rsid w:val="004A0A49"/>
    <w:rsid w:val="004A0A75"/>
    <w:rsid w:val="004A3DDB"/>
    <w:rsid w:val="004A4700"/>
    <w:rsid w:val="004A711A"/>
    <w:rsid w:val="004B005E"/>
    <w:rsid w:val="004B34FB"/>
    <w:rsid w:val="004B448D"/>
    <w:rsid w:val="004C0F10"/>
    <w:rsid w:val="004C3C29"/>
    <w:rsid w:val="004C3F8B"/>
    <w:rsid w:val="004C51F5"/>
    <w:rsid w:val="004C5D7B"/>
    <w:rsid w:val="004C6166"/>
    <w:rsid w:val="004C6BF0"/>
    <w:rsid w:val="004D0D4D"/>
    <w:rsid w:val="004D2649"/>
    <w:rsid w:val="004D31B0"/>
    <w:rsid w:val="004D34AD"/>
    <w:rsid w:val="004D5F2D"/>
    <w:rsid w:val="004D678B"/>
    <w:rsid w:val="004D7ACD"/>
    <w:rsid w:val="004E013B"/>
    <w:rsid w:val="004E0906"/>
    <w:rsid w:val="004E5E85"/>
    <w:rsid w:val="004F0288"/>
    <w:rsid w:val="004F0B47"/>
    <w:rsid w:val="004F305F"/>
    <w:rsid w:val="004F43AA"/>
    <w:rsid w:val="004F47FC"/>
    <w:rsid w:val="004F5442"/>
    <w:rsid w:val="004F5DE3"/>
    <w:rsid w:val="004F6B0C"/>
    <w:rsid w:val="004F6CCC"/>
    <w:rsid w:val="004F7900"/>
    <w:rsid w:val="005102A2"/>
    <w:rsid w:val="00510BAB"/>
    <w:rsid w:val="00514671"/>
    <w:rsid w:val="00515734"/>
    <w:rsid w:val="00515AD1"/>
    <w:rsid w:val="00515AD7"/>
    <w:rsid w:val="00522A6C"/>
    <w:rsid w:val="00524E27"/>
    <w:rsid w:val="00526431"/>
    <w:rsid w:val="00536F5B"/>
    <w:rsid w:val="00542670"/>
    <w:rsid w:val="00545001"/>
    <w:rsid w:val="00550937"/>
    <w:rsid w:val="0055330D"/>
    <w:rsid w:val="00555791"/>
    <w:rsid w:val="005578D6"/>
    <w:rsid w:val="00561174"/>
    <w:rsid w:val="00561795"/>
    <w:rsid w:val="00562BA8"/>
    <w:rsid w:val="0056376A"/>
    <w:rsid w:val="00564552"/>
    <w:rsid w:val="00566921"/>
    <w:rsid w:val="00567217"/>
    <w:rsid w:val="0057135C"/>
    <w:rsid w:val="005750C4"/>
    <w:rsid w:val="005759A4"/>
    <w:rsid w:val="00576CB6"/>
    <w:rsid w:val="00576FBF"/>
    <w:rsid w:val="005775A4"/>
    <w:rsid w:val="00577FAD"/>
    <w:rsid w:val="00582AD4"/>
    <w:rsid w:val="00583183"/>
    <w:rsid w:val="00585784"/>
    <w:rsid w:val="00587462"/>
    <w:rsid w:val="005876AF"/>
    <w:rsid w:val="00587861"/>
    <w:rsid w:val="00587C8D"/>
    <w:rsid w:val="00591EF2"/>
    <w:rsid w:val="00592198"/>
    <w:rsid w:val="0059320E"/>
    <w:rsid w:val="005953FB"/>
    <w:rsid w:val="00597B52"/>
    <w:rsid w:val="005A2E6F"/>
    <w:rsid w:val="005A3998"/>
    <w:rsid w:val="005A50E5"/>
    <w:rsid w:val="005A5AC9"/>
    <w:rsid w:val="005A6705"/>
    <w:rsid w:val="005A725A"/>
    <w:rsid w:val="005B0482"/>
    <w:rsid w:val="005B31A6"/>
    <w:rsid w:val="005B372B"/>
    <w:rsid w:val="005B6066"/>
    <w:rsid w:val="005B6769"/>
    <w:rsid w:val="005B70F0"/>
    <w:rsid w:val="005C40D3"/>
    <w:rsid w:val="005C4B0F"/>
    <w:rsid w:val="005C5C95"/>
    <w:rsid w:val="005C791D"/>
    <w:rsid w:val="005D06E4"/>
    <w:rsid w:val="005D098F"/>
    <w:rsid w:val="005D114E"/>
    <w:rsid w:val="005D1F18"/>
    <w:rsid w:val="005D5A3C"/>
    <w:rsid w:val="005E0F3C"/>
    <w:rsid w:val="005E3E8B"/>
    <w:rsid w:val="005E4ABD"/>
    <w:rsid w:val="005E6172"/>
    <w:rsid w:val="005F0C77"/>
    <w:rsid w:val="005F1102"/>
    <w:rsid w:val="005F3294"/>
    <w:rsid w:val="006038BD"/>
    <w:rsid w:val="00612F15"/>
    <w:rsid w:val="00613763"/>
    <w:rsid w:val="00614F41"/>
    <w:rsid w:val="00620526"/>
    <w:rsid w:val="00621602"/>
    <w:rsid w:val="006234D5"/>
    <w:rsid w:val="00623AF9"/>
    <w:rsid w:val="006251E6"/>
    <w:rsid w:val="00626208"/>
    <w:rsid w:val="00627439"/>
    <w:rsid w:val="006323C6"/>
    <w:rsid w:val="00634466"/>
    <w:rsid w:val="00636016"/>
    <w:rsid w:val="00636215"/>
    <w:rsid w:val="00643CC5"/>
    <w:rsid w:val="0064402F"/>
    <w:rsid w:val="00652175"/>
    <w:rsid w:val="00653E7F"/>
    <w:rsid w:val="0065445B"/>
    <w:rsid w:val="00655674"/>
    <w:rsid w:val="00656020"/>
    <w:rsid w:val="00656A9A"/>
    <w:rsid w:val="00656BBB"/>
    <w:rsid w:val="00656F7D"/>
    <w:rsid w:val="006571CA"/>
    <w:rsid w:val="00657FEB"/>
    <w:rsid w:val="006633E2"/>
    <w:rsid w:val="00663BBB"/>
    <w:rsid w:val="00665C49"/>
    <w:rsid w:val="00666D1A"/>
    <w:rsid w:val="00671269"/>
    <w:rsid w:val="00673EDC"/>
    <w:rsid w:val="00674DB5"/>
    <w:rsid w:val="0067506D"/>
    <w:rsid w:val="00675411"/>
    <w:rsid w:val="00675A35"/>
    <w:rsid w:val="0067610C"/>
    <w:rsid w:val="006825CB"/>
    <w:rsid w:val="00682BA0"/>
    <w:rsid w:val="0068495B"/>
    <w:rsid w:val="00687D46"/>
    <w:rsid w:val="00693295"/>
    <w:rsid w:val="00694188"/>
    <w:rsid w:val="00694B78"/>
    <w:rsid w:val="00694EAF"/>
    <w:rsid w:val="006960BB"/>
    <w:rsid w:val="00697476"/>
    <w:rsid w:val="006A28E5"/>
    <w:rsid w:val="006A2942"/>
    <w:rsid w:val="006A2A32"/>
    <w:rsid w:val="006A5995"/>
    <w:rsid w:val="006A5FFB"/>
    <w:rsid w:val="006A6752"/>
    <w:rsid w:val="006A763C"/>
    <w:rsid w:val="006B5BCF"/>
    <w:rsid w:val="006B610A"/>
    <w:rsid w:val="006B70DE"/>
    <w:rsid w:val="006C0244"/>
    <w:rsid w:val="006C0E35"/>
    <w:rsid w:val="006D012E"/>
    <w:rsid w:val="006D2836"/>
    <w:rsid w:val="006E342B"/>
    <w:rsid w:val="006E36CF"/>
    <w:rsid w:val="006E3A23"/>
    <w:rsid w:val="006E76CA"/>
    <w:rsid w:val="006E79B8"/>
    <w:rsid w:val="006F09DA"/>
    <w:rsid w:val="006F29FB"/>
    <w:rsid w:val="006F3F14"/>
    <w:rsid w:val="006F75B3"/>
    <w:rsid w:val="00701599"/>
    <w:rsid w:val="00703419"/>
    <w:rsid w:val="0070399E"/>
    <w:rsid w:val="00704892"/>
    <w:rsid w:val="00704906"/>
    <w:rsid w:val="00704B20"/>
    <w:rsid w:val="0070532D"/>
    <w:rsid w:val="007061AB"/>
    <w:rsid w:val="00706880"/>
    <w:rsid w:val="00706C0E"/>
    <w:rsid w:val="00707272"/>
    <w:rsid w:val="00710970"/>
    <w:rsid w:val="00711BD6"/>
    <w:rsid w:val="0071646D"/>
    <w:rsid w:val="0072130D"/>
    <w:rsid w:val="00723885"/>
    <w:rsid w:val="007258CC"/>
    <w:rsid w:val="0072647A"/>
    <w:rsid w:val="00727017"/>
    <w:rsid w:val="007319A2"/>
    <w:rsid w:val="00733D12"/>
    <w:rsid w:val="00733E02"/>
    <w:rsid w:val="0073677A"/>
    <w:rsid w:val="007431B7"/>
    <w:rsid w:val="007445FF"/>
    <w:rsid w:val="00744743"/>
    <w:rsid w:val="00746DEF"/>
    <w:rsid w:val="007474F3"/>
    <w:rsid w:val="00750348"/>
    <w:rsid w:val="0075085D"/>
    <w:rsid w:val="00751985"/>
    <w:rsid w:val="00752CA1"/>
    <w:rsid w:val="00753514"/>
    <w:rsid w:val="00753B92"/>
    <w:rsid w:val="00754346"/>
    <w:rsid w:val="00755D04"/>
    <w:rsid w:val="00761242"/>
    <w:rsid w:val="007622C7"/>
    <w:rsid w:val="00763D8D"/>
    <w:rsid w:val="00763F0B"/>
    <w:rsid w:val="00771DBA"/>
    <w:rsid w:val="007735E4"/>
    <w:rsid w:val="00774689"/>
    <w:rsid w:val="00775421"/>
    <w:rsid w:val="00780354"/>
    <w:rsid w:val="00780EAF"/>
    <w:rsid w:val="00780F68"/>
    <w:rsid w:val="00783504"/>
    <w:rsid w:val="00783983"/>
    <w:rsid w:val="007854FB"/>
    <w:rsid w:val="00786B54"/>
    <w:rsid w:val="00795893"/>
    <w:rsid w:val="00796558"/>
    <w:rsid w:val="007A0D31"/>
    <w:rsid w:val="007A0FC4"/>
    <w:rsid w:val="007A1C7C"/>
    <w:rsid w:val="007A2BCD"/>
    <w:rsid w:val="007A58C0"/>
    <w:rsid w:val="007A6474"/>
    <w:rsid w:val="007A7277"/>
    <w:rsid w:val="007B064B"/>
    <w:rsid w:val="007B2D33"/>
    <w:rsid w:val="007B72C4"/>
    <w:rsid w:val="007C023F"/>
    <w:rsid w:val="007C1423"/>
    <w:rsid w:val="007C2CA2"/>
    <w:rsid w:val="007C38FA"/>
    <w:rsid w:val="007C3BD4"/>
    <w:rsid w:val="007C3CB2"/>
    <w:rsid w:val="007C7E73"/>
    <w:rsid w:val="007D051F"/>
    <w:rsid w:val="007D0BBA"/>
    <w:rsid w:val="007D2550"/>
    <w:rsid w:val="007D2BF8"/>
    <w:rsid w:val="007D3332"/>
    <w:rsid w:val="007D333C"/>
    <w:rsid w:val="007D5074"/>
    <w:rsid w:val="007D6583"/>
    <w:rsid w:val="007D778F"/>
    <w:rsid w:val="007D7B5E"/>
    <w:rsid w:val="007E0FFD"/>
    <w:rsid w:val="007E18FC"/>
    <w:rsid w:val="007E494F"/>
    <w:rsid w:val="007E5BBF"/>
    <w:rsid w:val="007E68BF"/>
    <w:rsid w:val="007E7BA9"/>
    <w:rsid w:val="007F0B94"/>
    <w:rsid w:val="007F131B"/>
    <w:rsid w:val="007F26DD"/>
    <w:rsid w:val="007F2884"/>
    <w:rsid w:val="007F2CFD"/>
    <w:rsid w:val="007F3CED"/>
    <w:rsid w:val="007F7A95"/>
    <w:rsid w:val="00801696"/>
    <w:rsid w:val="00803FFB"/>
    <w:rsid w:val="00805C6A"/>
    <w:rsid w:val="00807246"/>
    <w:rsid w:val="008126C8"/>
    <w:rsid w:val="00812AFF"/>
    <w:rsid w:val="00814803"/>
    <w:rsid w:val="00814C48"/>
    <w:rsid w:val="00815254"/>
    <w:rsid w:val="00816127"/>
    <w:rsid w:val="008175D5"/>
    <w:rsid w:val="0082116A"/>
    <w:rsid w:val="00822129"/>
    <w:rsid w:val="00824B4B"/>
    <w:rsid w:val="00832C5F"/>
    <w:rsid w:val="00833991"/>
    <w:rsid w:val="00834B6A"/>
    <w:rsid w:val="008369B8"/>
    <w:rsid w:val="00837E6A"/>
    <w:rsid w:val="00840916"/>
    <w:rsid w:val="0084288D"/>
    <w:rsid w:val="008429AF"/>
    <w:rsid w:val="008444BD"/>
    <w:rsid w:val="00846B79"/>
    <w:rsid w:val="00846DDD"/>
    <w:rsid w:val="00851B24"/>
    <w:rsid w:val="00851F54"/>
    <w:rsid w:val="00854CE3"/>
    <w:rsid w:val="00861808"/>
    <w:rsid w:val="00866AB0"/>
    <w:rsid w:val="00867F1E"/>
    <w:rsid w:val="00870D8D"/>
    <w:rsid w:val="008735D5"/>
    <w:rsid w:val="00873D83"/>
    <w:rsid w:val="008763C0"/>
    <w:rsid w:val="008767B4"/>
    <w:rsid w:val="00877854"/>
    <w:rsid w:val="00882E11"/>
    <w:rsid w:val="00884635"/>
    <w:rsid w:val="00885EF1"/>
    <w:rsid w:val="00890F31"/>
    <w:rsid w:val="00894CB7"/>
    <w:rsid w:val="00896267"/>
    <w:rsid w:val="00896DBE"/>
    <w:rsid w:val="008A096F"/>
    <w:rsid w:val="008A0ED2"/>
    <w:rsid w:val="008A3471"/>
    <w:rsid w:val="008A5EF0"/>
    <w:rsid w:val="008A77B9"/>
    <w:rsid w:val="008B035B"/>
    <w:rsid w:val="008B4790"/>
    <w:rsid w:val="008C134F"/>
    <w:rsid w:val="008C1413"/>
    <w:rsid w:val="008C25C1"/>
    <w:rsid w:val="008C33C4"/>
    <w:rsid w:val="008C3699"/>
    <w:rsid w:val="008C6844"/>
    <w:rsid w:val="008D007F"/>
    <w:rsid w:val="008D5ECA"/>
    <w:rsid w:val="008D6C00"/>
    <w:rsid w:val="008D7D2E"/>
    <w:rsid w:val="008E077D"/>
    <w:rsid w:val="008E0FBB"/>
    <w:rsid w:val="008E437C"/>
    <w:rsid w:val="008E4678"/>
    <w:rsid w:val="008E6B95"/>
    <w:rsid w:val="008E70EF"/>
    <w:rsid w:val="008E7E58"/>
    <w:rsid w:val="008F0523"/>
    <w:rsid w:val="008F0F4B"/>
    <w:rsid w:val="008F0F5E"/>
    <w:rsid w:val="008F18AD"/>
    <w:rsid w:val="008F2F92"/>
    <w:rsid w:val="008F65E8"/>
    <w:rsid w:val="008F689B"/>
    <w:rsid w:val="00901D0E"/>
    <w:rsid w:val="009034E6"/>
    <w:rsid w:val="00903C2E"/>
    <w:rsid w:val="0090586A"/>
    <w:rsid w:val="0090678C"/>
    <w:rsid w:val="00910184"/>
    <w:rsid w:val="00910CE3"/>
    <w:rsid w:val="00912343"/>
    <w:rsid w:val="0091256C"/>
    <w:rsid w:val="00912FD0"/>
    <w:rsid w:val="00915640"/>
    <w:rsid w:val="00915956"/>
    <w:rsid w:val="00920E07"/>
    <w:rsid w:val="009232E0"/>
    <w:rsid w:val="0092374D"/>
    <w:rsid w:val="009237B7"/>
    <w:rsid w:val="00923BAA"/>
    <w:rsid w:val="00924970"/>
    <w:rsid w:val="009267F6"/>
    <w:rsid w:val="009317C0"/>
    <w:rsid w:val="009326BF"/>
    <w:rsid w:val="00932E0F"/>
    <w:rsid w:val="00935488"/>
    <w:rsid w:val="0093778C"/>
    <w:rsid w:val="0093787B"/>
    <w:rsid w:val="00937BC1"/>
    <w:rsid w:val="00942C8E"/>
    <w:rsid w:val="00944667"/>
    <w:rsid w:val="0095111A"/>
    <w:rsid w:val="00954F31"/>
    <w:rsid w:val="009607A3"/>
    <w:rsid w:val="00961330"/>
    <w:rsid w:val="00961BEE"/>
    <w:rsid w:val="00963095"/>
    <w:rsid w:val="00964AED"/>
    <w:rsid w:val="00964F1C"/>
    <w:rsid w:val="00965869"/>
    <w:rsid w:val="009672A4"/>
    <w:rsid w:val="00973859"/>
    <w:rsid w:val="00973B3F"/>
    <w:rsid w:val="00974A70"/>
    <w:rsid w:val="00975EA4"/>
    <w:rsid w:val="00976CE8"/>
    <w:rsid w:val="00982B62"/>
    <w:rsid w:val="00983C33"/>
    <w:rsid w:val="00983EB5"/>
    <w:rsid w:val="00985578"/>
    <w:rsid w:val="00985869"/>
    <w:rsid w:val="00987D69"/>
    <w:rsid w:val="009900E6"/>
    <w:rsid w:val="00990F17"/>
    <w:rsid w:val="009912B5"/>
    <w:rsid w:val="00991437"/>
    <w:rsid w:val="009914DC"/>
    <w:rsid w:val="0099369F"/>
    <w:rsid w:val="00993E30"/>
    <w:rsid w:val="00994032"/>
    <w:rsid w:val="009A1879"/>
    <w:rsid w:val="009A3DA3"/>
    <w:rsid w:val="009A3DE0"/>
    <w:rsid w:val="009B2564"/>
    <w:rsid w:val="009B4C1C"/>
    <w:rsid w:val="009B5927"/>
    <w:rsid w:val="009C07AA"/>
    <w:rsid w:val="009C2D00"/>
    <w:rsid w:val="009C34A4"/>
    <w:rsid w:val="009C3ECB"/>
    <w:rsid w:val="009C44B5"/>
    <w:rsid w:val="009C49B5"/>
    <w:rsid w:val="009C5FAB"/>
    <w:rsid w:val="009C6BDC"/>
    <w:rsid w:val="009C6D8D"/>
    <w:rsid w:val="009D25F6"/>
    <w:rsid w:val="009D3541"/>
    <w:rsid w:val="009D35B4"/>
    <w:rsid w:val="009D3B4B"/>
    <w:rsid w:val="009D4A79"/>
    <w:rsid w:val="009D4D5E"/>
    <w:rsid w:val="009E56D5"/>
    <w:rsid w:val="009E662A"/>
    <w:rsid w:val="009E76A2"/>
    <w:rsid w:val="009E7A09"/>
    <w:rsid w:val="009F0910"/>
    <w:rsid w:val="009F09EA"/>
    <w:rsid w:val="009F17BE"/>
    <w:rsid w:val="009F2679"/>
    <w:rsid w:val="009F41F3"/>
    <w:rsid w:val="009F6D4A"/>
    <w:rsid w:val="009F6DAA"/>
    <w:rsid w:val="00A000D9"/>
    <w:rsid w:val="00A00612"/>
    <w:rsid w:val="00A01C42"/>
    <w:rsid w:val="00A02D03"/>
    <w:rsid w:val="00A02E94"/>
    <w:rsid w:val="00A057DC"/>
    <w:rsid w:val="00A0725B"/>
    <w:rsid w:val="00A075FE"/>
    <w:rsid w:val="00A10153"/>
    <w:rsid w:val="00A11EC9"/>
    <w:rsid w:val="00A121FB"/>
    <w:rsid w:val="00A12F69"/>
    <w:rsid w:val="00A13A8D"/>
    <w:rsid w:val="00A13BE9"/>
    <w:rsid w:val="00A15FEA"/>
    <w:rsid w:val="00A17A74"/>
    <w:rsid w:val="00A22A04"/>
    <w:rsid w:val="00A23FCD"/>
    <w:rsid w:val="00A24BBF"/>
    <w:rsid w:val="00A24E49"/>
    <w:rsid w:val="00A25F38"/>
    <w:rsid w:val="00A26BB3"/>
    <w:rsid w:val="00A27411"/>
    <w:rsid w:val="00A27C51"/>
    <w:rsid w:val="00A308EA"/>
    <w:rsid w:val="00A31048"/>
    <w:rsid w:val="00A33005"/>
    <w:rsid w:val="00A34C99"/>
    <w:rsid w:val="00A36910"/>
    <w:rsid w:val="00A370A6"/>
    <w:rsid w:val="00A375F1"/>
    <w:rsid w:val="00A37D4C"/>
    <w:rsid w:val="00A37F5F"/>
    <w:rsid w:val="00A41B24"/>
    <w:rsid w:val="00A43DC7"/>
    <w:rsid w:val="00A444BF"/>
    <w:rsid w:val="00A461EE"/>
    <w:rsid w:val="00A5152D"/>
    <w:rsid w:val="00A550F7"/>
    <w:rsid w:val="00A57205"/>
    <w:rsid w:val="00A57436"/>
    <w:rsid w:val="00A605F9"/>
    <w:rsid w:val="00A60E45"/>
    <w:rsid w:val="00A63BA5"/>
    <w:rsid w:val="00A66EE9"/>
    <w:rsid w:val="00A6714F"/>
    <w:rsid w:val="00A7047C"/>
    <w:rsid w:val="00A71A62"/>
    <w:rsid w:val="00A7287F"/>
    <w:rsid w:val="00A73844"/>
    <w:rsid w:val="00A76165"/>
    <w:rsid w:val="00A77E6F"/>
    <w:rsid w:val="00A80D20"/>
    <w:rsid w:val="00A83F2E"/>
    <w:rsid w:val="00A8504E"/>
    <w:rsid w:val="00A86EA4"/>
    <w:rsid w:val="00A914BD"/>
    <w:rsid w:val="00A91A3E"/>
    <w:rsid w:val="00A92139"/>
    <w:rsid w:val="00A9444C"/>
    <w:rsid w:val="00A95E98"/>
    <w:rsid w:val="00AA01D4"/>
    <w:rsid w:val="00AA221B"/>
    <w:rsid w:val="00AA290B"/>
    <w:rsid w:val="00AA2D96"/>
    <w:rsid w:val="00AA5995"/>
    <w:rsid w:val="00AA7516"/>
    <w:rsid w:val="00AB0EEC"/>
    <w:rsid w:val="00AB2F9C"/>
    <w:rsid w:val="00AB312A"/>
    <w:rsid w:val="00AB5B2F"/>
    <w:rsid w:val="00AB6C24"/>
    <w:rsid w:val="00AB738C"/>
    <w:rsid w:val="00AC118D"/>
    <w:rsid w:val="00AC240E"/>
    <w:rsid w:val="00AC318C"/>
    <w:rsid w:val="00AC3234"/>
    <w:rsid w:val="00AC37FA"/>
    <w:rsid w:val="00AC3D7A"/>
    <w:rsid w:val="00AC3F10"/>
    <w:rsid w:val="00AC42D0"/>
    <w:rsid w:val="00AC5A44"/>
    <w:rsid w:val="00AC66C5"/>
    <w:rsid w:val="00AD619D"/>
    <w:rsid w:val="00AD6AB3"/>
    <w:rsid w:val="00AD6DA0"/>
    <w:rsid w:val="00AD712B"/>
    <w:rsid w:val="00AE0A63"/>
    <w:rsid w:val="00AE1B7C"/>
    <w:rsid w:val="00AE1D02"/>
    <w:rsid w:val="00AE1EF8"/>
    <w:rsid w:val="00AE20F3"/>
    <w:rsid w:val="00AE348D"/>
    <w:rsid w:val="00AE4EBF"/>
    <w:rsid w:val="00AF0B62"/>
    <w:rsid w:val="00AF42E3"/>
    <w:rsid w:val="00B020FB"/>
    <w:rsid w:val="00B0556F"/>
    <w:rsid w:val="00B06579"/>
    <w:rsid w:val="00B06A9C"/>
    <w:rsid w:val="00B07B88"/>
    <w:rsid w:val="00B10C1D"/>
    <w:rsid w:val="00B12CBA"/>
    <w:rsid w:val="00B227D4"/>
    <w:rsid w:val="00B2295D"/>
    <w:rsid w:val="00B2516C"/>
    <w:rsid w:val="00B2587E"/>
    <w:rsid w:val="00B300AD"/>
    <w:rsid w:val="00B327D2"/>
    <w:rsid w:val="00B34B6A"/>
    <w:rsid w:val="00B35B22"/>
    <w:rsid w:val="00B36265"/>
    <w:rsid w:val="00B408D2"/>
    <w:rsid w:val="00B45B74"/>
    <w:rsid w:val="00B53412"/>
    <w:rsid w:val="00B53751"/>
    <w:rsid w:val="00B54DC6"/>
    <w:rsid w:val="00B55B57"/>
    <w:rsid w:val="00B567D7"/>
    <w:rsid w:val="00B57693"/>
    <w:rsid w:val="00B61B4E"/>
    <w:rsid w:val="00B70DE9"/>
    <w:rsid w:val="00B74E74"/>
    <w:rsid w:val="00B805D0"/>
    <w:rsid w:val="00B82AB2"/>
    <w:rsid w:val="00B854E2"/>
    <w:rsid w:val="00B873B5"/>
    <w:rsid w:val="00B93260"/>
    <w:rsid w:val="00B93F28"/>
    <w:rsid w:val="00B96420"/>
    <w:rsid w:val="00B972CB"/>
    <w:rsid w:val="00BA0FD9"/>
    <w:rsid w:val="00BA23A2"/>
    <w:rsid w:val="00BA40D9"/>
    <w:rsid w:val="00BB03AD"/>
    <w:rsid w:val="00BB0BA8"/>
    <w:rsid w:val="00BB37A8"/>
    <w:rsid w:val="00BB44D7"/>
    <w:rsid w:val="00BB6206"/>
    <w:rsid w:val="00BC2293"/>
    <w:rsid w:val="00BC3655"/>
    <w:rsid w:val="00BC66F9"/>
    <w:rsid w:val="00BC6820"/>
    <w:rsid w:val="00BC6C03"/>
    <w:rsid w:val="00BC6F02"/>
    <w:rsid w:val="00BC6F77"/>
    <w:rsid w:val="00BD1031"/>
    <w:rsid w:val="00BD320D"/>
    <w:rsid w:val="00BD455D"/>
    <w:rsid w:val="00BD70C1"/>
    <w:rsid w:val="00BE2CD8"/>
    <w:rsid w:val="00BE2E79"/>
    <w:rsid w:val="00BE36D4"/>
    <w:rsid w:val="00BE4487"/>
    <w:rsid w:val="00BE5EC6"/>
    <w:rsid w:val="00BF212F"/>
    <w:rsid w:val="00BF373E"/>
    <w:rsid w:val="00BF43FA"/>
    <w:rsid w:val="00BF48CF"/>
    <w:rsid w:val="00BF589E"/>
    <w:rsid w:val="00BF652B"/>
    <w:rsid w:val="00BF7381"/>
    <w:rsid w:val="00C01127"/>
    <w:rsid w:val="00C045BB"/>
    <w:rsid w:val="00C06CB9"/>
    <w:rsid w:val="00C11288"/>
    <w:rsid w:val="00C12472"/>
    <w:rsid w:val="00C127E3"/>
    <w:rsid w:val="00C12993"/>
    <w:rsid w:val="00C14194"/>
    <w:rsid w:val="00C1562E"/>
    <w:rsid w:val="00C15C47"/>
    <w:rsid w:val="00C20FD7"/>
    <w:rsid w:val="00C21C6A"/>
    <w:rsid w:val="00C21CE2"/>
    <w:rsid w:val="00C226BA"/>
    <w:rsid w:val="00C25D38"/>
    <w:rsid w:val="00C26871"/>
    <w:rsid w:val="00C26CA2"/>
    <w:rsid w:val="00C3203F"/>
    <w:rsid w:val="00C322A8"/>
    <w:rsid w:val="00C342E1"/>
    <w:rsid w:val="00C377A0"/>
    <w:rsid w:val="00C37BD6"/>
    <w:rsid w:val="00C40B0E"/>
    <w:rsid w:val="00C40CCE"/>
    <w:rsid w:val="00C41346"/>
    <w:rsid w:val="00C4210A"/>
    <w:rsid w:val="00C43BD6"/>
    <w:rsid w:val="00C45B16"/>
    <w:rsid w:val="00C45EBD"/>
    <w:rsid w:val="00C466DC"/>
    <w:rsid w:val="00C468DC"/>
    <w:rsid w:val="00C47B12"/>
    <w:rsid w:val="00C534CE"/>
    <w:rsid w:val="00C5415C"/>
    <w:rsid w:val="00C541D9"/>
    <w:rsid w:val="00C54344"/>
    <w:rsid w:val="00C55C7E"/>
    <w:rsid w:val="00C57A39"/>
    <w:rsid w:val="00C61C78"/>
    <w:rsid w:val="00C62615"/>
    <w:rsid w:val="00C6335B"/>
    <w:rsid w:val="00C63F3D"/>
    <w:rsid w:val="00C645D0"/>
    <w:rsid w:val="00C65119"/>
    <w:rsid w:val="00C677BF"/>
    <w:rsid w:val="00C67B4F"/>
    <w:rsid w:val="00C71AC0"/>
    <w:rsid w:val="00C72787"/>
    <w:rsid w:val="00C763D2"/>
    <w:rsid w:val="00C80468"/>
    <w:rsid w:val="00C82510"/>
    <w:rsid w:val="00C83288"/>
    <w:rsid w:val="00C83A49"/>
    <w:rsid w:val="00C846E1"/>
    <w:rsid w:val="00C86648"/>
    <w:rsid w:val="00C90211"/>
    <w:rsid w:val="00C90783"/>
    <w:rsid w:val="00C95C0B"/>
    <w:rsid w:val="00C96F9A"/>
    <w:rsid w:val="00CA0927"/>
    <w:rsid w:val="00CA0E05"/>
    <w:rsid w:val="00CA4623"/>
    <w:rsid w:val="00CA4B6A"/>
    <w:rsid w:val="00CA537E"/>
    <w:rsid w:val="00CA54D2"/>
    <w:rsid w:val="00CA7A9C"/>
    <w:rsid w:val="00CB007D"/>
    <w:rsid w:val="00CB0544"/>
    <w:rsid w:val="00CB140F"/>
    <w:rsid w:val="00CB537A"/>
    <w:rsid w:val="00CC06B5"/>
    <w:rsid w:val="00CC1091"/>
    <w:rsid w:val="00CC1977"/>
    <w:rsid w:val="00CC1F56"/>
    <w:rsid w:val="00CC2185"/>
    <w:rsid w:val="00CC28DD"/>
    <w:rsid w:val="00CC4601"/>
    <w:rsid w:val="00CC6E78"/>
    <w:rsid w:val="00CC75A2"/>
    <w:rsid w:val="00CC7F41"/>
    <w:rsid w:val="00CD1068"/>
    <w:rsid w:val="00CD1ACB"/>
    <w:rsid w:val="00CD2162"/>
    <w:rsid w:val="00CD28DE"/>
    <w:rsid w:val="00CD49EF"/>
    <w:rsid w:val="00CE0348"/>
    <w:rsid w:val="00CE2310"/>
    <w:rsid w:val="00CE423E"/>
    <w:rsid w:val="00CE67AF"/>
    <w:rsid w:val="00CE6A0C"/>
    <w:rsid w:val="00CE7143"/>
    <w:rsid w:val="00CF3B73"/>
    <w:rsid w:val="00CF5874"/>
    <w:rsid w:val="00D02747"/>
    <w:rsid w:val="00D029A4"/>
    <w:rsid w:val="00D03FFF"/>
    <w:rsid w:val="00D107B7"/>
    <w:rsid w:val="00D1120B"/>
    <w:rsid w:val="00D11B8A"/>
    <w:rsid w:val="00D14664"/>
    <w:rsid w:val="00D15C17"/>
    <w:rsid w:val="00D175D4"/>
    <w:rsid w:val="00D226A0"/>
    <w:rsid w:val="00D24279"/>
    <w:rsid w:val="00D27175"/>
    <w:rsid w:val="00D3022C"/>
    <w:rsid w:val="00D304CE"/>
    <w:rsid w:val="00D3157C"/>
    <w:rsid w:val="00D31C8D"/>
    <w:rsid w:val="00D32626"/>
    <w:rsid w:val="00D33D96"/>
    <w:rsid w:val="00D35671"/>
    <w:rsid w:val="00D35FE8"/>
    <w:rsid w:val="00D364E5"/>
    <w:rsid w:val="00D37658"/>
    <w:rsid w:val="00D37DF1"/>
    <w:rsid w:val="00D41184"/>
    <w:rsid w:val="00D42666"/>
    <w:rsid w:val="00D428E9"/>
    <w:rsid w:val="00D434B3"/>
    <w:rsid w:val="00D4618E"/>
    <w:rsid w:val="00D472FF"/>
    <w:rsid w:val="00D47CF4"/>
    <w:rsid w:val="00D5212F"/>
    <w:rsid w:val="00D52D57"/>
    <w:rsid w:val="00D52EB8"/>
    <w:rsid w:val="00D52FB9"/>
    <w:rsid w:val="00D53012"/>
    <w:rsid w:val="00D543E3"/>
    <w:rsid w:val="00D557FA"/>
    <w:rsid w:val="00D56D8A"/>
    <w:rsid w:val="00D6208B"/>
    <w:rsid w:val="00D6323D"/>
    <w:rsid w:val="00D63600"/>
    <w:rsid w:val="00D64173"/>
    <w:rsid w:val="00D64D0A"/>
    <w:rsid w:val="00D65736"/>
    <w:rsid w:val="00D67560"/>
    <w:rsid w:val="00D67916"/>
    <w:rsid w:val="00D70277"/>
    <w:rsid w:val="00D7082A"/>
    <w:rsid w:val="00D76498"/>
    <w:rsid w:val="00D81885"/>
    <w:rsid w:val="00D81F02"/>
    <w:rsid w:val="00D824D2"/>
    <w:rsid w:val="00D862C3"/>
    <w:rsid w:val="00D86780"/>
    <w:rsid w:val="00D86E4E"/>
    <w:rsid w:val="00D878B0"/>
    <w:rsid w:val="00D94156"/>
    <w:rsid w:val="00D9415D"/>
    <w:rsid w:val="00D94439"/>
    <w:rsid w:val="00D950F6"/>
    <w:rsid w:val="00DA15E3"/>
    <w:rsid w:val="00DB2B20"/>
    <w:rsid w:val="00DB4813"/>
    <w:rsid w:val="00DB6228"/>
    <w:rsid w:val="00DC5F49"/>
    <w:rsid w:val="00DC77D8"/>
    <w:rsid w:val="00DC7BEC"/>
    <w:rsid w:val="00DD3E70"/>
    <w:rsid w:val="00DE073C"/>
    <w:rsid w:val="00DE16E9"/>
    <w:rsid w:val="00DE4365"/>
    <w:rsid w:val="00DE4C6F"/>
    <w:rsid w:val="00DF4EA1"/>
    <w:rsid w:val="00DF5828"/>
    <w:rsid w:val="00E01B46"/>
    <w:rsid w:val="00E05F95"/>
    <w:rsid w:val="00E061B5"/>
    <w:rsid w:val="00E06324"/>
    <w:rsid w:val="00E109B2"/>
    <w:rsid w:val="00E11C47"/>
    <w:rsid w:val="00E11F6B"/>
    <w:rsid w:val="00E122C2"/>
    <w:rsid w:val="00E1400B"/>
    <w:rsid w:val="00E17B51"/>
    <w:rsid w:val="00E2249A"/>
    <w:rsid w:val="00E2474A"/>
    <w:rsid w:val="00E271BE"/>
    <w:rsid w:val="00E30C20"/>
    <w:rsid w:val="00E30E91"/>
    <w:rsid w:val="00E30EBB"/>
    <w:rsid w:val="00E32B5E"/>
    <w:rsid w:val="00E33420"/>
    <w:rsid w:val="00E33D2F"/>
    <w:rsid w:val="00E35D4E"/>
    <w:rsid w:val="00E363D3"/>
    <w:rsid w:val="00E41E7A"/>
    <w:rsid w:val="00E4272F"/>
    <w:rsid w:val="00E42FD5"/>
    <w:rsid w:val="00E4395F"/>
    <w:rsid w:val="00E44E0D"/>
    <w:rsid w:val="00E503CA"/>
    <w:rsid w:val="00E50406"/>
    <w:rsid w:val="00E57717"/>
    <w:rsid w:val="00E6040B"/>
    <w:rsid w:val="00E610C7"/>
    <w:rsid w:val="00E65E44"/>
    <w:rsid w:val="00E66C39"/>
    <w:rsid w:val="00E67AC7"/>
    <w:rsid w:val="00E70CC7"/>
    <w:rsid w:val="00E727B4"/>
    <w:rsid w:val="00E758B8"/>
    <w:rsid w:val="00E773A0"/>
    <w:rsid w:val="00E77F0E"/>
    <w:rsid w:val="00E805B7"/>
    <w:rsid w:val="00E82285"/>
    <w:rsid w:val="00E85022"/>
    <w:rsid w:val="00E85235"/>
    <w:rsid w:val="00E8628A"/>
    <w:rsid w:val="00E91702"/>
    <w:rsid w:val="00E9493D"/>
    <w:rsid w:val="00EA39C0"/>
    <w:rsid w:val="00EA48FC"/>
    <w:rsid w:val="00EA69C3"/>
    <w:rsid w:val="00EB0D59"/>
    <w:rsid w:val="00EB214F"/>
    <w:rsid w:val="00EB2203"/>
    <w:rsid w:val="00EB3CD1"/>
    <w:rsid w:val="00EB3FD4"/>
    <w:rsid w:val="00EB4169"/>
    <w:rsid w:val="00EB48A9"/>
    <w:rsid w:val="00EB5501"/>
    <w:rsid w:val="00EB75FE"/>
    <w:rsid w:val="00EB7684"/>
    <w:rsid w:val="00EC031D"/>
    <w:rsid w:val="00EC2985"/>
    <w:rsid w:val="00EC33B7"/>
    <w:rsid w:val="00EC366B"/>
    <w:rsid w:val="00EC5738"/>
    <w:rsid w:val="00EC5BA4"/>
    <w:rsid w:val="00ED063F"/>
    <w:rsid w:val="00ED7CDD"/>
    <w:rsid w:val="00ED7FF2"/>
    <w:rsid w:val="00EE7F07"/>
    <w:rsid w:val="00EF18F6"/>
    <w:rsid w:val="00EF4460"/>
    <w:rsid w:val="00EF5ABD"/>
    <w:rsid w:val="00EF6E58"/>
    <w:rsid w:val="00F0022C"/>
    <w:rsid w:val="00F00DC9"/>
    <w:rsid w:val="00F02B94"/>
    <w:rsid w:val="00F03A6F"/>
    <w:rsid w:val="00F078B5"/>
    <w:rsid w:val="00F103EC"/>
    <w:rsid w:val="00F10999"/>
    <w:rsid w:val="00F12E05"/>
    <w:rsid w:val="00F15CE1"/>
    <w:rsid w:val="00F15F42"/>
    <w:rsid w:val="00F1642E"/>
    <w:rsid w:val="00F1677C"/>
    <w:rsid w:val="00F172EB"/>
    <w:rsid w:val="00F17FE7"/>
    <w:rsid w:val="00F20BEE"/>
    <w:rsid w:val="00F22E84"/>
    <w:rsid w:val="00F24F9C"/>
    <w:rsid w:val="00F30AB9"/>
    <w:rsid w:val="00F3242B"/>
    <w:rsid w:val="00F361CB"/>
    <w:rsid w:val="00F3751F"/>
    <w:rsid w:val="00F448F4"/>
    <w:rsid w:val="00F4558D"/>
    <w:rsid w:val="00F47D16"/>
    <w:rsid w:val="00F50FEA"/>
    <w:rsid w:val="00F51A53"/>
    <w:rsid w:val="00F52C04"/>
    <w:rsid w:val="00F53597"/>
    <w:rsid w:val="00F56C74"/>
    <w:rsid w:val="00F56E98"/>
    <w:rsid w:val="00F57207"/>
    <w:rsid w:val="00F5747F"/>
    <w:rsid w:val="00F606DB"/>
    <w:rsid w:val="00F63A66"/>
    <w:rsid w:val="00F644D9"/>
    <w:rsid w:val="00F656A9"/>
    <w:rsid w:val="00F66DF8"/>
    <w:rsid w:val="00F67ECF"/>
    <w:rsid w:val="00F70120"/>
    <w:rsid w:val="00F72138"/>
    <w:rsid w:val="00F73E58"/>
    <w:rsid w:val="00F74539"/>
    <w:rsid w:val="00F771F7"/>
    <w:rsid w:val="00F842CC"/>
    <w:rsid w:val="00F8543D"/>
    <w:rsid w:val="00F86C2F"/>
    <w:rsid w:val="00F87764"/>
    <w:rsid w:val="00F9086D"/>
    <w:rsid w:val="00F908C4"/>
    <w:rsid w:val="00F90D14"/>
    <w:rsid w:val="00F9140F"/>
    <w:rsid w:val="00F9496E"/>
    <w:rsid w:val="00F96741"/>
    <w:rsid w:val="00FA211A"/>
    <w:rsid w:val="00FA215F"/>
    <w:rsid w:val="00FA390E"/>
    <w:rsid w:val="00FA3A5D"/>
    <w:rsid w:val="00FA5054"/>
    <w:rsid w:val="00FA6FA2"/>
    <w:rsid w:val="00FB1764"/>
    <w:rsid w:val="00FB5172"/>
    <w:rsid w:val="00FB698D"/>
    <w:rsid w:val="00FC0283"/>
    <w:rsid w:val="00FC076E"/>
    <w:rsid w:val="00FC11EF"/>
    <w:rsid w:val="00FC24B4"/>
    <w:rsid w:val="00FC2B68"/>
    <w:rsid w:val="00FC481E"/>
    <w:rsid w:val="00FC49E1"/>
    <w:rsid w:val="00FC4BA9"/>
    <w:rsid w:val="00FD025B"/>
    <w:rsid w:val="00FD1537"/>
    <w:rsid w:val="00FD680E"/>
    <w:rsid w:val="00FD7AFE"/>
    <w:rsid w:val="00FE0ABD"/>
    <w:rsid w:val="00FE12EB"/>
    <w:rsid w:val="00FE1A58"/>
    <w:rsid w:val="00FE2D4E"/>
    <w:rsid w:val="00FE38C9"/>
    <w:rsid w:val="00FE3AFA"/>
    <w:rsid w:val="00FE4B82"/>
    <w:rsid w:val="00FE6D8D"/>
    <w:rsid w:val="00FE7715"/>
    <w:rsid w:val="00FE7B81"/>
    <w:rsid w:val="00FF362B"/>
    <w:rsid w:val="01290CD8"/>
    <w:rsid w:val="0254042F"/>
    <w:rsid w:val="029A00AD"/>
    <w:rsid w:val="035F5A07"/>
    <w:rsid w:val="0394026C"/>
    <w:rsid w:val="04AB0013"/>
    <w:rsid w:val="04F26AA1"/>
    <w:rsid w:val="09782A4F"/>
    <w:rsid w:val="0B027C6D"/>
    <w:rsid w:val="0B030D04"/>
    <w:rsid w:val="0D5E73D5"/>
    <w:rsid w:val="0EF81657"/>
    <w:rsid w:val="114F2456"/>
    <w:rsid w:val="117A652A"/>
    <w:rsid w:val="13421FD6"/>
    <w:rsid w:val="13F64281"/>
    <w:rsid w:val="1489218A"/>
    <w:rsid w:val="14BE2C0D"/>
    <w:rsid w:val="15CD0970"/>
    <w:rsid w:val="16791C79"/>
    <w:rsid w:val="16D655CD"/>
    <w:rsid w:val="16DE424F"/>
    <w:rsid w:val="16E04C43"/>
    <w:rsid w:val="16F41344"/>
    <w:rsid w:val="177322EB"/>
    <w:rsid w:val="19E5724C"/>
    <w:rsid w:val="1B6E615D"/>
    <w:rsid w:val="1C0B2988"/>
    <w:rsid w:val="1C2269E0"/>
    <w:rsid w:val="1CFE046D"/>
    <w:rsid w:val="1E0A0BE2"/>
    <w:rsid w:val="1F664EED"/>
    <w:rsid w:val="1F9413CC"/>
    <w:rsid w:val="205404A7"/>
    <w:rsid w:val="2230711A"/>
    <w:rsid w:val="223112D9"/>
    <w:rsid w:val="223F361A"/>
    <w:rsid w:val="23AD0385"/>
    <w:rsid w:val="23D96B5F"/>
    <w:rsid w:val="242411AF"/>
    <w:rsid w:val="244046AD"/>
    <w:rsid w:val="25C711BE"/>
    <w:rsid w:val="2629775B"/>
    <w:rsid w:val="26BA2199"/>
    <w:rsid w:val="270C71A5"/>
    <w:rsid w:val="272048EF"/>
    <w:rsid w:val="27884DDC"/>
    <w:rsid w:val="28141FFB"/>
    <w:rsid w:val="293C3C30"/>
    <w:rsid w:val="2A4116AD"/>
    <w:rsid w:val="2BA51059"/>
    <w:rsid w:val="2C644811"/>
    <w:rsid w:val="2C652E0B"/>
    <w:rsid w:val="2D6320E8"/>
    <w:rsid w:val="2EA63515"/>
    <w:rsid w:val="2F1A4FF9"/>
    <w:rsid w:val="2FC95D46"/>
    <w:rsid w:val="2FFC6A83"/>
    <w:rsid w:val="3089379C"/>
    <w:rsid w:val="310822EA"/>
    <w:rsid w:val="31D238CC"/>
    <w:rsid w:val="321A2F0A"/>
    <w:rsid w:val="334939BC"/>
    <w:rsid w:val="34C70D0B"/>
    <w:rsid w:val="36D32CC7"/>
    <w:rsid w:val="3737380E"/>
    <w:rsid w:val="3798481A"/>
    <w:rsid w:val="37B6058C"/>
    <w:rsid w:val="389464FD"/>
    <w:rsid w:val="399A42FA"/>
    <w:rsid w:val="3A3E2673"/>
    <w:rsid w:val="3A956B06"/>
    <w:rsid w:val="3B2E309D"/>
    <w:rsid w:val="3CBB2DD2"/>
    <w:rsid w:val="3DEE3F09"/>
    <w:rsid w:val="3E9D5C21"/>
    <w:rsid w:val="3EB90702"/>
    <w:rsid w:val="403D16BB"/>
    <w:rsid w:val="40BE4043"/>
    <w:rsid w:val="420311BC"/>
    <w:rsid w:val="424E10F1"/>
    <w:rsid w:val="427700EF"/>
    <w:rsid w:val="45402D62"/>
    <w:rsid w:val="45E269B8"/>
    <w:rsid w:val="464B5AE2"/>
    <w:rsid w:val="47347540"/>
    <w:rsid w:val="48151763"/>
    <w:rsid w:val="495C4853"/>
    <w:rsid w:val="4A601F1D"/>
    <w:rsid w:val="4A9A5FFF"/>
    <w:rsid w:val="4B883595"/>
    <w:rsid w:val="4BF24AF9"/>
    <w:rsid w:val="4C8F4E13"/>
    <w:rsid w:val="4D2A777B"/>
    <w:rsid w:val="4DBC358A"/>
    <w:rsid w:val="4EDA5741"/>
    <w:rsid w:val="4EF83C83"/>
    <w:rsid w:val="4F0B2F15"/>
    <w:rsid w:val="4F0D3590"/>
    <w:rsid w:val="4F1822B5"/>
    <w:rsid w:val="4F4512FE"/>
    <w:rsid w:val="50373C39"/>
    <w:rsid w:val="53E574B0"/>
    <w:rsid w:val="57D2770E"/>
    <w:rsid w:val="5A0C66CD"/>
    <w:rsid w:val="5ABE1AD5"/>
    <w:rsid w:val="5B1F0C50"/>
    <w:rsid w:val="5B670B63"/>
    <w:rsid w:val="5BDB0FF1"/>
    <w:rsid w:val="60424877"/>
    <w:rsid w:val="6044435D"/>
    <w:rsid w:val="61D72553"/>
    <w:rsid w:val="62163BBC"/>
    <w:rsid w:val="62587A94"/>
    <w:rsid w:val="62BF41B1"/>
    <w:rsid w:val="63B6446E"/>
    <w:rsid w:val="64D7092C"/>
    <w:rsid w:val="66373347"/>
    <w:rsid w:val="675B7982"/>
    <w:rsid w:val="68457EBC"/>
    <w:rsid w:val="693D044C"/>
    <w:rsid w:val="69CC2394"/>
    <w:rsid w:val="6BA33663"/>
    <w:rsid w:val="6BBD19DF"/>
    <w:rsid w:val="6D1D1F75"/>
    <w:rsid w:val="6D2C6D23"/>
    <w:rsid w:val="70DB2617"/>
    <w:rsid w:val="71676CAD"/>
    <w:rsid w:val="71830EE0"/>
    <w:rsid w:val="7304255E"/>
    <w:rsid w:val="74670E6E"/>
    <w:rsid w:val="74E95CCD"/>
    <w:rsid w:val="74EF5744"/>
    <w:rsid w:val="762A5624"/>
    <w:rsid w:val="77C318FA"/>
    <w:rsid w:val="77FB2D9D"/>
    <w:rsid w:val="783F2423"/>
    <w:rsid w:val="78896AC0"/>
    <w:rsid w:val="78DC2B08"/>
    <w:rsid w:val="78F83524"/>
    <w:rsid w:val="7910578C"/>
    <w:rsid w:val="7A537A1F"/>
    <w:rsid w:val="7B8A168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Times New Roman" w:eastAsia="仿宋" w:cs="Times New Roman"/>
      <w:kern w:val="30"/>
      <w:sz w:val="30"/>
      <w:szCs w:val="21"/>
      <w:lang w:val="en-US" w:eastAsia="zh-CN" w:bidi="ar-SA"/>
    </w:rPr>
  </w:style>
  <w:style w:type="paragraph" w:styleId="2">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5"/>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6"/>
    <w:qFormat/>
    <w:uiPriority w:val="99"/>
    <w:pPr>
      <w:keepNext/>
      <w:keepLines/>
      <w:spacing w:before="260" w:after="260" w:line="416" w:lineRule="auto"/>
      <w:outlineLvl w:val="2"/>
    </w:pPr>
    <w:rPr>
      <w:b/>
      <w:bCs/>
      <w:kern w:val="0"/>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2"/>
    <w:semiHidden/>
    <w:unhideWhenUsed/>
    <w:qFormat/>
    <w:uiPriority w:val="99"/>
    <w:rPr>
      <w:rFonts w:ascii="宋体"/>
      <w:sz w:val="18"/>
      <w:szCs w:val="18"/>
    </w:rPr>
  </w:style>
  <w:style w:type="paragraph" w:styleId="6">
    <w:name w:val="annotation text"/>
    <w:basedOn w:val="1"/>
    <w:link w:val="30"/>
    <w:unhideWhenUsed/>
    <w:qFormat/>
    <w:uiPriority w:val="99"/>
    <w:pPr>
      <w:jc w:val="left"/>
    </w:pPr>
  </w:style>
  <w:style w:type="paragraph" w:styleId="7">
    <w:name w:val="Body Text"/>
    <w:basedOn w:val="1"/>
    <w:link w:val="37"/>
    <w:qFormat/>
    <w:uiPriority w:val="1"/>
    <w:pPr>
      <w:ind w:left="119"/>
      <w:jc w:val="left"/>
    </w:pPr>
    <w:rPr>
      <w:rFonts w:ascii="仿宋_GB2312" w:hAnsi="仿宋_GB2312" w:eastAsia="仿宋_GB2312" w:cstheme="minorBidi"/>
      <w:kern w:val="0"/>
      <w:szCs w:val="30"/>
      <w:lang w:eastAsia="en-US"/>
    </w:rPr>
  </w:style>
  <w:style w:type="paragraph" w:styleId="8">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9">
    <w:name w:val="Balloon Text"/>
    <w:basedOn w:val="1"/>
    <w:link w:val="29"/>
    <w:semiHidden/>
    <w:unhideWhenUsed/>
    <w:qFormat/>
    <w:uiPriority w:val="99"/>
    <w:rPr>
      <w:sz w:val="18"/>
      <w:szCs w:val="18"/>
    </w:rPr>
  </w:style>
  <w:style w:type="paragraph" w:styleId="10">
    <w:name w:val="footer"/>
    <w:basedOn w:val="1"/>
    <w:link w:val="2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pPr>
      <w:widowControl/>
      <w:tabs>
        <w:tab w:val="right" w:leader="dot" w:pos="8931"/>
      </w:tabs>
      <w:spacing w:line="400" w:lineRule="exact"/>
      <w:jc w:val="right"/>
    </w:pPr>
    <w:rPr>
      <w:rFonts w:asciiTheme="minorHAnsi" w:hAnsiTheme="minorHAnsi" w:eastAsiaTheme="minorEastAsia"/>
      <w:kern w:val="0"/>
      <w:sz w:val="22"/>
      <w:szCs w:val="22"/>
    </w:rPr>
  </w:style>
  <w:style w:type="paragraph" w:styleId="13">
    <w:name w:val="footnote text"/>
    <w:basedOn w:val="1"/>
    <w:link w:val="39"/>
    <w:unhideWhenUsed/>
    <w:qFormat/>
    <w:uiPriority w:val="99"/>
    <w:pPr>
      <w:snapToGrid w:val="0"/>
      <w:jc w:val="left"/>
    </w:pPr>
    <w:rPr>
      <w:sz w:val="18"/>
      <w:szCs w:val="18"/>
    </w:rPr>
  </w:style>
  <w:style w:type="paragraph" w:styleId="14">
    <w:name w:val="toc 2"/>
    <w:basedOn w:val="1"/>
    <w:next w:val="1"/>
    <w:unhideWhenUsed/>
    <w:qFormat/>
    <w:uiPriority w:val="39"/>
    <w:pPr>
      <w:widowControl/>
      <w:tabs>
        <w:tab w:val="right" w:leader="dot" w:pos="8789"/>
      </w:tabs>
      <w:spacing w:line="400" w:lineRule="exact"/>
      <w:jc w:val="right"/>
    </w:pPr>
    <w:rPr>
      <w:rFonts w:ascii="仿宋_GB2312" w:eastAsia="仿宋_GB2312" w:hAnsiTheme="minorHAnsi"/>
      <w:b/>
      <w:bCs/>
      <w:kern w:val="0"/>
      <w:sz w:val="24"/>
      <w:szCs w:val="24"/>
      <w:lang w:val="zh-CN"/>
    </w:rPr>
  </w:style>
  <w:style w:type="paragraph" w:styleId="1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6">
    <w:name w:val="annotation subject"/>
    <w:basedOn w:val="6"/>
    <w:next w:val="6"/>
    <w:link w:val="31"/>
    <w:semiHidden/>
    <w:unhideWhenUsed/>
    <w:qFormat/>
    <w:uiPriority w:val="99"/>
    <w:rPr>
      <w:b/>
      <w:bCs/>
    </w:rPr>
  </w:style>
  <w:style w:type="table" w:styleId="18">
    <w:name w:val="Table Grid"/>
    <w:basedOn w:val="1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0">
    <w:name w:val="page number"/>
    <w:basedOn w:val="19"/>
    <w:qFormat/>
    <w:uiPriority w:val="0"/>
  </w:style>
  <w:style w:type="character" w:styleId="21">
    <w:name w:val="Hyperlink"/>
    <w:basedOn w:val="19"/>
    <w:unhideWhenUsed/>
    <w:qFormat/>
    <w:uiPriority w:val="99"/>
    <w:rPr>
      <w:color w:val="0000FF" w:themeColor="hyperlink"/>
      <w:u w:val="single"/>
      <w14:textFill>
        <w14:solidFill>
          <w14:schemeClr w14:val="hlink"/>
        </w14:solidFill>
      </w14:textFill>
    </w:rPr>
  </w:style>
  <w:style w:type="character" w:styleId="22">
    <w:name w:val="annotation reference"/>
    <w:basedOn w:val="19"/>
    <w:semiHidden/>
    <w:unhideWhenUsed/>
    <w:qFormat/>
    <w:uiPriority w:val="99"/>
    <w:rPr>
      <w:sz w:val="21"/>
      <w:szCs w:val="21"/>
    </w:rPr>
  </w:style>
  <w:style w:type="character" w:styleId="23">
    <w:name w:val="footnote reference"/>
    <w:basedOn w:val="19"/>
    <w:semiHidden/>
    <w:unhideWhenUsed/>
    <w:qFormat/>
    <w:uiPriority w:val="99"/>
    <w:rPr>
      <w:vertAlign w:val="superscript"/>
    </w:rPr>
  </w:style>
  <w:style w:type="character" w:customStyle="1" w:styleId="24">
    <w:name w:val="标题 1 字符"/>
    <w:basedOn w:val="19"/>
    <w:link w:val="2"/>
    <w:qFormat/>
    <w:uiPriority w:val="9"/>
    <w:rPr>
      <w:rFonts w:ascii="Times New Roman" w:hAnsi="Times New Roman" w:eastAsia="宋体" w:cs="Times New Roman"/>
      <w:b/>
      <w:bCs/>
      <w:kern w:val="44"/>
      <w:sz w:val="44"/>
      <w:szCs w:val="44"/>
    </w:rPr>
  </w:style>
  <w:style w:type="character" w:customStyle="1" w:styleId="25">
    <w:name w:val="标题 2 字符"/>
    <w:basedOn w:val="19"/>
    <w:link w:val="3"/>
    <w:qFormat/>
    <w:uiPriority w:val="99"/>
    <w:rPr>
      <w:rFonts w:ascii="Cambria" w:hAnsi="Cambria" w:eastAsia="宋体" w:cs="Times New Roman"/>
      <w:b/>
      <w:bCs/>
      <w:kern w:val="0"/>
      <w:sz w:val="32"/>
      <w:szCs w:val="32"/>
    </w:rPr>
  </w:style>
  <w:style w:type="character" w:customStyle="1" w:styleId="26">
    <w:name w:val="标题 3 字符"/>
    <w:basedOn w:val="19"/>
    <w:link w:val="4"/>
    <w:qFormat/>
    <w:uiPriority w:val="99"/>
    <w:rPr>
      <w:rFonts w:ascii="Times New Roman" w:hAnsi="Times New Roman" w:eastAsia="宋体" w:cs="Times New Roman"/>
      <w:b/>
      <w:bCs/>
      <w:kern w:val="0"/>
      <w:sz w:val="32"/>
      <w:szCs w:val="32"/>
    </w:rPr>
  </w:style>
  <w:style w:type="character" w:customStyle="1" w:styleId="27">
    <w:name w:val="页眉 字符"/>
    <w:basedOn w:val="19"/>
    <w:link w:val="11"/>
    <w:qFormat/>
    <w:uiPriority w:val="99"/>
    <w:rPr>
      <w:sz w:val="18"/>
      <w:szCs w:val="18"/>
    </w:rPr>
  </w:style>
  <w:style w:type="character" w:customStyle="1" w:styleId="28">
    <w:name w:val="页脚 字符"/>
    <w:basedOn w:val="19"/>
    <w:link w:val="10"/>
    <w:qFormat/>
    <w:uiPriority w:val="0"/>
    <w:rPr>
      <w:sz w:val="18"/>
      <w:szCs w:val="18"/>
    </w:rPr>
  </w:style>
  <w:style w:type="character" w:customStyle="1" w:styleId="29">
    <w:name w:val="批注框文本 字符"/>
    <w:basedOn w:val="19"/>
    <w:link w:val="9"/>
    <w:semiHidden/>
    <w:qFormat/>
    <w:uiPriority w:val="99"/>
    <w:rPr>
      <w:rFonts w:ascii="Times New Roman" w:hAnsi="Times New Roman" w:eastAsia="宋体" w:cs="Times New Roman"/>
      <w:sz w:val="18"/>
      <w:szCs w:val="18"/>
    </w:rPr>
  </w:style>
  <w:style w:type="character" w:customStyle="1" w:styleId="30">
    <w:name w:val="批注文字 字符"/>
    <w:basedOn w:val="19"/>
    <w:link w:val="6"/>
    <w:qFormat/>
    <w:uiPriority w:val="99"/>
    <w:rPr>
      <w:rFonts w:ascii="Times New Roman" w:hAnsi="Times New Roman" w:eastAsia="宋体" w:cs="Times New Roman"/>
      <w:szCs w:val="21"/>
    </w:rPr>
  </w:style>
  <w:style w:type="character" w:customStyle="1" w:styleId="31">
    <w:name w:val="批注主题 字符"/>
    <w:basedOn w:val="30"/>
    <w:link w:val="16"/>
    <w:semiHidden/>
    <w:qFormat/>
    <w:uiPriority w:val="99"/>
    <w:rPr>
      <w:rFonts w:ascii="Times New Roman" w:hAnsi="Times New Roman" w:eastAsia="宋体" w:cs="Times New Roman"/>
      <w:b/>
      <w:bCs/>
      <w:szCs w:val="21"/>
    </w:rPr>
  </w:style>
  <w:style w:type="character" w:customStyle="1" w:styleId="32">
    <w:name w:val="文档结构图 字符"/>
    <w:basedOn w:val="19"/>
    <w:link w:val="5"/>
    <w:semiHidden/>
    <w:qFormat/>
    <w:uiPriority w:val="99"/>
    <w:rPr>
      <w:rFonts w:ascii="宋体" w:hAnsi="Times New Roman" w:eastAsia="宋体" w:cs="Times New Roman"/>
      <w:sz w:val="18"/>
      <w:szCs w:val="18"/>
    </w:rPr>
  </w:style>
  <w:style w:type="paragraph" w:customStyle="1" w:styleId="33">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34">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35">
    <w:name w:val="页码 New New"/>
    <w:basedOn w:val="19"/>
    <w:qFormat/>
    <w:uiPriority w:val="0"/>
  </w:style>
  <w:style w:type="paragraph" w:styleId="36">
    <w:name w:val="List Paragraph"/>
    <w:basedOn w:val="1"/>
    <w:qFormat/>
    <w:uiPriority w:val="34"/>
    <w:pPr>
      <w:ind w:firstLine="420" w:firstLineChars="200"/>
    </w:pPr>
  </w:style>
  <w:style w:type="character" w:customStyle="1" w:styleId="37">
    <w:name w:val="正文文本 字符"/>
    <w:basedOn w:val="19"/>
    <w:link w:val="7"/>
    <w:qFormat/>
    <w:uiPriority w:val="1"/>
    <w:rPr>
      <w:rFonts w:ascii="仿宋_GB2312" w:hAnsi="仿宋_GB2312" w:eastAsia="仿宋_GB2312"/>
      <w:kern w:val="0"/>
      <w:sz w:val="30"/>
      <w:szCs w:val="30"/>
      <w:lang w:eastAsia="en-US"/>
    </w:rPr>
  </w:style>
  <w:style w:type="character" w:customStyle="1" w:styleId="38">
    <w:name w:val="未处理的提及1"/>
    <w:basedOn w:val="19"/>
    <w:semiHidden/>
    <w:unhideWhenUsed/>
    <w:qFormat/>
    <w:uiPriority w:val="99"/>
    <w:rPr>
      <w:color w:val="605E5C"/>
      <w:shd w:val="clear" w:color="auto" w:fill="E1DFDD"/>
    </w:rPr>
  </w:style>
  <w:style w:type="character" w:customStyle="1" w:styleId="39">
    <w:name w:val="脚注文本 字符"/>
    <w:basedOn w:val="19"/>
    <w:link w:val="13"/>
    <w:qFormat/>
    <w:uiPriority w:val="99"/>
    <w:rPr>
      <w:rFonts w:ascii="仿宋" w:hAnsi="Times New Roman" w:eastAsia="仿宋" w:cs="Times New Roman"/>
      <w:kern w:val="30"/>
      <w:sz w:val="18"/>
      <w:szCs w:val="18"/>
    </w:rPr>
  </w:style>
  <w:style w:type="character" w:customStyle="1" w:styleId="40">
    <w:name w:val="apple-converted-space"/>
    <w:basedOn w:val="19"/>
    <w:qFormat/>
    <w:uiPriority w:val="0"/>
  </w:style>
  <w:style w:type="paragraph" w:customStyle="1" w:styleId="41">
    <w:name w:val="WPSOffice手动目录 1"/>
    <w:qFormat/>
    <w:uiPriority w:val="0"/>
    <w:rPr>
      <w:rFonts w:ascii="Times New Roman" w:hAnsi="Times New Roman" w:eastAsia="宋体" w:cs="Times New Roman"/>
      <w:lang w:val="en-US" w:eastAsia="zh-CN" w:bidi="ar-SA"/>
    </w:rPr>
  </w:style>
  <w:style w:type="paragraph" w:customStyle="1" w:styleId="42">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6c3ec62-76fd-4e62-9644-d74240156d03}"/>
        <w:style w:val=""/>
        <w:category>
          <w:name w:val="常规"/>
          <w:gallery w:val="placeholder"/>
        </w:category>
        <w:types>
          <w:type w:val="bbPlcHdr"/>
        </w:types>
        <w:behaviors>
          <w:behavior w:val="content"/>
        </w:behaviors>
        <w:description w:val=""/>
        <w:guid w:val="{96c3ec62-76fd-4e62-9644-d74240156d03}"/>
      </w:docPartPr>
      <w:docPartBody>
        <w:p>
          <w:r>
            <w:rPr>
              <w:color w:val="808080"/>
            </w:rPr>
            <w:t>单击此处输入文字。</w:t>
          </w:r>
        </w:p>
      </w:docPartBody>
    </w:docPart>
    <w:docPart>
      <w:docPartPr>
        <w:name w:val="{0a61ade0-52f5-4102-ad0b-c59e0150fb99}"/>
        <w:style w:val=""/>
        <w:category>
          <w:name w:val="常规"/>
          <w:gallery w:val="placeholder"/>
        </w:category>
        <w:types>
          <w:type w:val="bbPlcHdr"/>
        </w:types>
        <w:behaviors>
          <w:behavior w:val="content"/>
        </w:behaviors>
        <w:description w:val=""/>
        <w:guid w:val="{0a61ade0-52f5-4102-ad0b-c59e0150fb99}"/>
      </w:docPartPr>
      <w:docPartBody>
        <w:p>
          <w:r>
            <w:rPr>
              <w:color w:val="808080"/>
            </w:rPr>
            <w:t>单击此处输入文字。</w:t>
          </w:r>
        </w:p>
      </w:docPartBody>
    </w:docPart>
    <w:docPart>
      <w:docPartPr>
        <w:name w:val="{efe37209-4270-4c9d-b76a-c72f71b09295}"/>
        <w:style w:val=""/>
        <w:category>
          <w:name w:val="常规"/>
          <w:gallery w:val="placeholder"/>
        </w:category>
        <w:types>
          <w:type w:val="bbPlcHdr"/>
        </w:types>
        <w:behaviors>
          <w:behavior w:val="content"/>
        </w:behaviors>
        <w:description w:val=""/>
        <w:guid w:val="{efe37209-4270-4c9d-b76a-c72f71b09295}"/>
      </w:docPartPr>
      <w:docPartBody>
        <w:p>
          <w:r>
            <w:rPr>
              <w:color w:val="808080"/>
            </w:rPr>
            <w:t>单击此处输入文字。</w:t>
          </w:r>
        </w:p>
      </w:docPartBody>
    </w:docPart>
    <w:docPart>
      <w:docPartPr>
        <w:name w:val="{0a3bda47-ece4-44c2-8e1f-96ac9c722a89}"/>
        <w:style w:val=""/>
        <w:category>
          <w:name w:val="常规"/>
          <w:gallery w:val="placeholder"/>
        </w:category>
        <w:types>
          <w:type w:val="bbPlcHdr"/>
        </w:types>
        <w:behaviors>
          <w:behavior w:val="content"/>
        </w:behaviors>
        <w:description w:val=""/>
        <w:guid w:val="{0a3bda47-ece4-44c2-8e1f-96ac9c722a89}"/>
      </w:docPartPr>
      <w:docPartBody>
        <w:p>
          <w:r>
            <w:rPr>
              <w:color w:val="808080"/>
            </w:rPr>
            <w:t>单击此处输入文字。</w:t>
          </w:r>
        </w:p>
      </w:docPartBody>
    </w:docPart>
    <w:docPart>
      <w:docPartPr>
        <w:name w:val="{827fd0b2-e0b9-40d2-bb93-dc364f6f2f8f}"/>
        <w:style w:val=""/>
        <w:category>
          <w:name w:val="常规"/>
          <w:gallery w:val="placeholder"/>
        </w:category>
        <w:types>
          <w:type w:val="bbPlcHdr"/>
        </w:types>
        <w:behaviors>
          <w:behavior w:val="content"/>
        </w:behaviors>
        <w:description w:val=""/>
        <w:guid w:val="{827fd0b2-e0b9-40d2-bb93-dc364f6f2f8f}"/>
      </w:docPartPr>
      <w:docPartBody>
        <w:p>
          <w:r>
            <w:rPr>
              <w:color w:val="808080"/>
            </w:rPr>
            <w:t>单击此处输入文字。</w:t>
          </w:r>
        </w:p>
      </w:docPartBody>
    </w:docPart>
    <w:docPart>
      <w:docPartPr>
        <w:name w:val="{b0b4cd43-2e47-4f99-a27a-114de7d8229f}"/>
        <w:style w:val=""/>
        <w:category>
          <w:name w:val="常规"/>
          <w:gallery w:val="placeholder"/>
        </w:category>
        <w:types>
          <w:type w:val="bbPlcHdr"/>
        </w:types>
        <w:behaviors>
          <w:behavior w:val="content"/>
        </w:behaviors>
        <w:description w:val=""/>
        <w:guid w:val="{b0b4cd43-2e47-4f99-a27a-114de7d8229f}"/>
      </w:docPartPr>
      <w:docPartBody>
        <w:p>
          <w:r>
            <w:rPr>
              <w:color w:val="808080"/>
            </w:rPr>
            <w:t>单击此处输入文字。</w:t>
          </w:r>
        </w:p>
      </w:docPartBody>
    </w:docPart>
    <w:docPart>
      <w:docPartPr>
        <w:name w:val="{0af4ede7-5961-4ffd-be31-100e49f216bc}"/>
        <w:style w:val=""/>
        <w:category>
          <w:name w:val="常规"/>
          <w:gallery w:val="placeholder"/>
        </w:category>
        <w:types>
          <w:type w:val="bbPlcHdr"/>
        </w:types>
        <w:behaviors>
          <w:behavior w:val="content"/>
        </w:behaviors>
        <w:description w:val=""/>
        <w:guid w:val="{0af4ede7-5961-4ffd-be31-100e49f216bc}"/>
      </w:docPartPr>
      <w:docPartBody>
        <w:p>
          <w:r>
            <w:rPr>
              <w:color w:val="808080"/>
            </w:rPr>
            <w:t>单击此处输入文字。</w:t>
          </w:r>
        </w:p>
      </w:docPartBody>
    </w:docPart>
    <w:docPart>
      <w:docPartPr>
        <w:name w:val="{31131479-f995-49d1-b42d-caa8f9e8cedf}"/>
        <w:style w:val=""/>
        <w:category>
          <w:name w:val="常规"/>
          <w:gallery w:val="placeholder"/>
        </w:category>
        <w:types>
          <w:type w:val="bbPlcHdr"/>
        </w:types>
        <w:behaviors>
          <w:behavior w:val="content"/>
        </w:behaviors>
        <w:description w:val=""/>
        <w:guid w:val="{31131479-f995-49d1-b42d-caa8f9e8cedf}"/>
      </w:docPartPr>
      <w:docPartBody>
        <w:p>
          <w:r>
            <w:rPr>
              <w:color w:val="808080"/>
            </w:rPr>
            <w:t>单击此处输入文字。</w:t>
          </w:r>
        </w:p>
      </w:docPartBody>
    </w:docPart>
    <w:docPart>
      <w:docPartPr>
        <w:name w:val="{d5135704-2df7-4792-9779-f11b08a2ea26}"/>
        <w:style w:val=""/>
        <w:category>
          <w:name w:val="常规"/>
          <w:gallery w:val="placeholder"/>
        </w:category>
        <w:types>
          <w:type w:val="bbPlcHdr"/>
        </w:types>
        <w:behaviors>
          <w:behavior w:val="content"/>
        </w:behaviors>
        <w:description w:val=""/>
        <w:guid w:val="{d5135704-2df7-4792-9779-f11b08a2ea26}"/>
      </w:docPartPr>
      <w:docPartBody>
        <w:p>
          <w:r>
            <w:rPr>
              <w:color w:val="808080"/>
            </w:rPr>
            <w:t>单击此处输入文字。</w:t>
          </w:r>
        </w:p>
      </w:docPartBody>
    </w:docPart>
    <w:docPart>
      <w:docPartPr>
        <w:name w:val="{5c2aa690-82ff-4335-a420-1de765627da4}"/>
        <w:style w:val=""/>
        <w:category>
          <w:name w:val="常规"/>
          <w:gallery w:val="placeholder"/>
        </w:category>
        <w:types>
          <w:type w:val="bbPlcHdr"/>
        </w:types>
        <w:behaviors>
          <w:behavior w:val="content"/>
        </w:behaviors>
        <w:description w:val=""/>
        <w:guid w:val="{5c2aa690-82ff-4335-a420-1de765627da4}"/>
      </w:docPartPr>
      <w:docPartBody>
        <w:p>
          <w:r>
            <w:rPr>
              <w:color w:val="808080"/>
            </w:rPr>
            <w:t>单击此处输入文字。</w:t>
          </w:r>
        </w:p>
      </w:docPartBody>
    </w:docPart>
    <w:docPart>
      <w:docPartPr>
        <w:name w:val="{561cf685-609a-4f2a-a98a-c0e0f2cb111e}"/>
        <w:style w:val=""/>
        <w:category>
          <w:name w:val="常规"/>
          <w:gallery w:val="placeholder"/>
        </w:category>
        <w:types>
          <w:type w:val="bbPlcHdr"/>
        </w:types>
        <w:behaviors>
          <w:behavior w:val="content"/>
        </w:behaviors>
        <w:description w:val=""/>
        <w:guid w:val="{561cf685-609a-4f2a-a98a-c0e0f2cb111e}"/>
      </w:docPartPr>
      <w:docPartBody>
        <w:p>
          <w:r>
            <w:rPr>
              <w:color w:val="808080"/>
            </w:rPr>
            <w:t>单击此处输入文字。</w:t>
          </w:r>
        </w:p>
      </w:docPartBody>
    </w:docPart>
    <w:docPart>
      <w:docPartPr>
        <w:name w:val="{ac351579-a8bb-4d4b-95cd-42446a6d4fda}"/>
        <w:style w:val=""/>
        <w:category>
          <w:name w:val="常规"/>
          <w:gallery w:val="placeholder"/>
        </w:category>
        <w:types>
          <w:type w:val="bbPlcHdr"/>
        </w:types>
        <w:behaviors>
          <w:behavior w:val="content"/>
        </w:behaviors>
        <w:description w:val=""/>
        <w:guid w:val="{ac351579-a8bb-4d4b-95cd-42446a6d4fda}"/>
      </w:docPartPr>
      <w:docPartBody>
        <w:p>
          <w:r>
            <w:rPr>
              <w:color w:val="808080"/>
            </w:rPr>
            <w:t>单击此处输入文字。</w:t>
          </w:r>
        </w:p>
      </w:docPartBody>
    </w:docPart>
    <w:docPart>
      <w:docPartPr>
        <w:name w:val="{a72a7254-a5c5-4760-b0b7-32aad048f18b}"/>
        <w:style w:val=""/>
        <w:category>
          <w:name w:val="常规"/>
          <w:gallery w:val="placeholder"/>
        </w:category>
        <w:types>
          <w:type w:val="bbPlcHdr"/>
        </w:types>
        <w:behaviors>
          <w:behavior w:val="content"/>
        </w:behaviors>
        <w:description w:val=""/>
        <w:guid w:val="{a72a7254-a5c5-4760-b0b7-32aad048f18b}"/>
      </w:docPartPr>
      <w:docPartBody>
        <w:p>
          <w:r>
            <w:rPr>
              <w:color w:val="808080"/>
            </w:rPr>
            <w:t>单击此处输入文字。</w:t>
          </w:r>
        </w:p>
      </w:docPartBody>
    </w:docPart>
    <w:docPart>
      <w:docPartPr>
        <w:name w:val="{8b345867-9699-4aa0-bd3b-2423e9503e2a}"/>
        <w:style w:val=""/>
        <w:category>
          <w:name w:val="常规"/>
          <w:gallery w:val="placeholder"/>
        </w:category>
        <w:types>
          <w:type w:val="bbPlcHdr"/>
        </w:types>
        <w:behaviors>
          <w:behavior w:val="content"/>
        </w:behaviors>
        <w:description w:val=""/>
        <w:guid w:val="{8b345867-9699-4aa0-bd3b-2423e9503e2a}"/>
      </w:docPartPr>
      <w:docPartBody>
        <w:p>
          <w:r>
            <w:rPr>
              <w:color w:val="808080"/>
            </w:rPr>
            <w:t>单击此处输入文字。</w:t>
          </w:r>
        </w:p>
      </w:docPartBody>
    </w:docPart>
    <w:docPart>
      <w:docPartPr>
        <w:name w:val="{be8e3c59-4c62-41d2-b718-68b5b6d330a3}"/>
        <w:style w:val=""/>
        <w:category>
          <w:name w:val="常规"/>
          <w:gallery w:val="placeholder"/>
        </w:category>
        <w:types>
          <w:type w:val="bbPlcHdr"/>
        </w:types>
        <w:behaviors>
          <w:behavior w:val="content"/>
        </w:behaviors>
        <w:description w:val=""/>
        <w:guid w:val="{be8e3c59-4c62-41d2-b718-68b5b6d330a3}"/>
      </w:docPartPr>
      <w:docPartBody>
        <w:p>
          <w:r>
            <w:rPr>
              <w:color w:val="808080"/>
            </w:rPr>
            <w:t>单击此处输入文字。</w:t>
          </w:r>
        </w:p>
      </w:docPartBody>
    </w:docPart>
    <w:docPart>
      <w:docPartPr>
        <w:name w:val="{88da8295-1a24-4705-9320-236f9b32dc06}"/>
        <w:style w:val=""/>
        <w:category>
          <w:name w:val="常规"/>
          <w:gallery w:val="placeholder"/>
        </w:category>
        <w:types>
          <w:type w:val="bbPlcHdr"/>
        </w:types>
        <w:behaviors>
          <w:behavior w:val="content"/>
        </w:behaviors>
        <w:description w:val=""/>
        <w:guid w:val="{88da8295-1a24-4705-9320-236f9b32dc06}"/>
      </w:docPartPr>
      <w:docPartBody>
        <w:p>
          <w:r>
            <w:rPr>
              <w:color w:val="808080"/>
            </w:rPr>
            <w:t>单击此处输入文字。</w:t>
          </w:r>
        </w:p>
      </w:docPartBody>
    </w:docPart>
    <w:docPart>
      <w:docPartPr>
        <w:name w:val="{e29f2408-7915-40e3-a4ce-6ac0e2f00ce3}"/>
        <w:style w:val=""/>
        <w:category>
          <w:name w:val="常规"/>
          <w:gallery w:val="placeholder"/>
        </w:category>
        <w:types>
          <w:type w:val="bbPlcHdr"/>
        </w:types>
        <w:behaviors>
          <w:behavior w:val="content"/>
        </w:behaviors>
        <w:description w:val=""/>
        <w:guid w:val="{e29f2408-7915-40e3-a4ce-6ac0e2f00ce3}"/>
      </w:docPartPr>
      <w:docPartBody>
        <w:p>
          <w:r>
            <w:rPr>
              <w:color w:val="808080"/>
            </w:rPr>
            <w:t>单击此处输入文字。</w:t>
          </w:r>
        </w:p>
      </w:docPartBody>
    </w:docPart>
    <w:docPart>
      <w:docPartPr>
        <w:name w:val="{fffdc8d4-785c-41b5-84f7-95aa1178e07a}"/>
        <w:style w:val=""/>
        <w:category>
          <w:name w:val="常规"/>
          <w:gallery w:val="placeholder"/>
        </w:category>
        <w:types>
          <w:type w:val="bbPlcHdr"/>
        </w:types>
        <w:behaviors>
          <w:behavior w:val="content"/>
        </w:behaviors>
        <w:description w:val=""/>
        <w:guid w:val="{fffdc8d4-785c-41b5-84f7-95aa1178e07a}"/>
      </w:docPartPr>
      <w:docPartBody>
        <w:p>
          <w:r>
            <w:rPr>
              <w:color w:val="808080"/>
            </w:rPr>
            <w:t>单击此处输入文字。</w:t>
          </w:r>
        </w:p>
      </w:docPartBody>
    </w:docPart>
    <w:docPart>
      <w:docPartPr>
        <w:name w:val="{e384499f-05eb-4149-8b01-8ac3f25bb980}"/>
        <w:style w:val=""/>
        <w:category>
          <w:name w:val="常规"/>
          <w:gallery w:val="placeholder"/>
        </w:category>
        <w:types>
          <w:type w:val="bbPlcHdr"/>
        </w:types>
        <w:behaviors>
          <w:behavior w:val="content"/>
        </w:behaviors>
        <w:description w:val=""/>
        <w:guid w:val="{e384499f-05eb-4149-8b01-8ac3f25bb980}"/>
      </w:docPartPr>
      <w:docPartBody>
        <w:p>
          <w:r>
            <w:rPr>
              <w:color w:val="808080"/>
            </w:rPr>
            <w:t>单击此处输入文字。</w:t>
          </w:r>
        </w:p>
      </w:docPartBody>
    </w:docPart>
    <w:docPart>
      <w:docPartPr>
        <w:name w:val="{0a8f5ee8-fa9e-4005-83be-df041845e643}"/>
        <w:style w:val=""/>
        <w:category>
          <w:name w:val="常规"/>
          <w:gallery w:val="placeholder"/>
        </w:category>
        <w:types>
          <w:type w:val="bbPlcHdr"/>
        </w:types>
        <w:behaviors>
          <w:behavior w:val="content"/>
        </w:behaviors>
        <w:description w:val=""/>
        <w:guid w:val="{0a8f5ee8-fa9e-4005-83be-df041845e643}"/>
      </w:docPartPr>
      <w:docPartBody>
        <w:p>
          <w:r>
            <w:rPr>
              <w:color w:val="808080"/>
            </w:rPr>
            <w:t>单击此处输入文字。</w:t>
          </w:r>
        </w:p>
      </w:docPartBody>
    </w:docPart>
    <w:docPart>
      <w:docPartPr>
        <w:name w:val="{996f37fa-2a0f-4ffe-80f3-9ffaa5fb031e}"/>
        <w:style w:val=""/>
        <w:category>
          <w:name w:val="常规"/>
          <w:gallery w:val="placeholder"/>
        </w:category>
        <w:types>
          <w:type w:val="bbPlcHdr"/>
        </w:types>
        <w:behaviors>
          <w:behavior w:val="content"/>
        </w:behaviors>
        <w:description w:val=""/>
        <w:guid w:val="{996f37fa-2a0f-4ffe-80f3-9ffaa5fb031e}"/>
      </w:docPartPr>
      <w:docPartBody>
        <w:p>
          <w:r>
            <w:rPr>
              <w:color w:val="808080"/>
            </w:rPr>
            <w:t>单击此处输入文字。</w:t>
          </w:r>
        </w:p>
      </w:docPartBody>
    </w:docPart>
    <w:docPart>
      <w:docPartPr>
        <w:name w:val="{1c363158-97bc-4718-b0e6-ccf674de33a6}"/>
        <w:style w:val=""/>
        <w:category>
          <w:name w:val="常规"/>
          <w:gallery w:val="placeholder"/>
        </w:category>
        <w:types>
          <w:type w:val="bbPlcHdr"/>
        </w:types>
        <w:behaviors>
          <w:behavior w:val="content"/>
        </w:behaviors>
        <w:description w:val=""/>
        <w:guid w:val="{1c363158-97bc-4718-b0e6-ccf674de33a6}"/>
      </w:docPartPr>
      <w:docPartBody>
        <w:p>
          <w:r>
            <w:rPr>
              <w:color w:val="808080"/>
            </w:rPr>
            <w:t>单击此处输入文字。</w:t>
          </w:r>
        </w:p>
      </w:docPartBody>
    </w:docPart>
    <w:docPart>
      <w:docPartPr>
        <w:name w:val="{9460f82f-d465-40ae-9ade-52acbf0d8a3a}"/>
        <w:style w:val=""/>
        <w:category>
          <w:name w:val="常规"/>
          <w:gallery w:val="placeholder"/>
        </w:category>
        <w:types>
          <w:type w:val="bbPlcHdr"/>
        </w:types>
        <w:behaviors>
          <w:behavior w:val="content"/>
        </w:behaviors>
        <w:description w:val=""/>
        <w:guid w:val="{9460f82f-d465-40ae-9ade-52acbf0d8a3a}"/>
      </w:docPartPr>
      <w:docPartBody>
        <w:p>
          <w:r>
            <w:rPr>
              <w:color w:val="808080"/>
            </w:rPr>
            <w:t>单击此处输入文字。</w:t>
          </w:r>
        </w:p>
      </w:docPartBody>
    </w:docPart>
    <w:docPart>
      <w:docPartPr>
        <w:name w:val="{216b4c46-167b-44c3-b2ba-3b8a6ff8ab32}"/>
        <w:style w:val=""/>
        <w:category>
          <w:name w:val="常规"/>
          <w:gallery w:val="placeholder"/>
        </w:category>
        <w:types>
          <w:type w:val="bbPlcHdr"/>
        </w:types>
        <w:behaviors>
          <w:behavior w:val="content"/>
        </w:behaviors>
        <w:description w:val=""/>
        <w:guid w:val="{216b4c46-167b-44c3-b2ba-3b8a6ff8ab32}"/>
      </w:docPartPr>
      <w:docPartBody>
        <w:p>
          <w:r>
            <w:rPr>
              <w:color w:val="808080"/>
            </w:rPr>
            <w:t>单击此处输入文字。</w:t>
          </w:r>
        </w:p>
      </w:docPartBody>
    </w:docPart>
    <w:docPart>
      <w:docPartPr>
        <w:name w:val="{0ed8643c-1f44-4ccf-a181-77b291889a6b}"/>
        <w:style w:val=""/>
        <w:category>
          <w:name w:val="常规"/>
          <w:gallery w:val="placeholder"/>
        </w:category>
        <w:types>
          <w:type w:val="bbPlcHdr"/>
        </w:types>
        <w:behaviors>
          <w:behavior w:val="content"/>
        </w:behaviors>
        <w:description w:val=""/>
        <w:guid w:val="{0ed8643c-1f44-4ccf-a181-77b291889a6b}"/>
      </w:docPartPr>
      <w:docPartBody>
        <w:p>
          <w:r>
            <w:rPr>
              <w:color w:val="808080"/>
            </w:rPr>
            <w:t>单击此处输入文字。</w:t>
          </w:r>
        </w:p>
      </w:docPartBody>
    </w:docPart>
    <w:docPart>
      <w:docPartPr>
        <w:name w:val="{0649913f-e32a-42fb-b7e2-2a95702b77bf}"/>
        <w:style w:val=""/>
        <w:category>
          <w:name w:val="常规"/>
          <w:gallery w:val="placeholder"/>
        </w:category>
        <w:types>
          <w:type w:val="bbPlcHdr"/>
        </w:types>
        <w:behaviors>
          <w:behavior w:val="content"/>
        </w:behaviors>
        <w:description w:val=""/>
        <w:guid w:val="{0649913f-e32a-42fb-b7e2-2a95702b77bf}"/>
      </w:docPartPr>
      <w:docPartBody>
        <w:p>
          <w:r>
            <w:rPr>
              <w:color w:val="808080"/>
            </w:rPr>
            <w:t>单击此处输入文字。</w:t>
          </w:r>
        </w:p>
      </w:docPartBody>
    </w:docPart>
    <w:docPart>
      <w:docPartPr>
        <w:name w:val="{30d32830-9488-491a-ae27-0cf49c153c9d}"/>
        <w:style w:val=""/>
        <w:category>
          <w:name w:val="常规"/>
          <w:gallery w:val="placeholder"/>
        </w:category>
        <w:types>
          <w:type w:val="bbPlcHdr"/>
        </w:types>
        <w:behaviors>
          <w:behavior w:val="content"/>
        </w:behaviors>
        <w:description w:val=""/>
        <w:guid w:val="{30d32830-9488-491a-ae27-0cf49c153c9d}"/>
      </w:docPartPr>
      <w:docPartBody>
        <w:p>
          <w:r>
            <w:rPr>
              <w:color w:val="808080"/>
            </w:rPr>
            <w:t>单击此处输入文字。</w:t>
          </w:r>
        </w:p>
      </w:docPartBody>
    </w:docPart>
    <w:docPart>
      <w:docPartPr>
        <w:name w:val="{c7cf9b57-179a-445e-8939-5e15d588fa11}"/>
        <w:style w:val=""/>
        <w:category>
          <w:name w:val="常规"/>
          <w:gallery w:val="placeholder"/>
        </w:category>
        <w:types>
          <w:type w:val="bbPlcHdr"/>
        </w:types>
        <w:behaviors>
          <w:behavior w:val="content"/>
        </w:behaviors>
        <w:description w:val=""/>
        <w:guid w:val="{c7cf9b57-179a-445e-8939-5e15d588fa11}"/>
      </w:docPartPr>
      <w:docPartBody>
        <w:p>
          <w:r>
            <w:rPr>
              <w:color w:val="808080"/>
            </w:rPr>
            <w:t>单击此处输入文字。</w:t>
          </w:r>
        </w:p>
      </w:docPartBody>
    </w:docPart>
    <w:docPart>
      <w:docPartPr>
        <w:name w:val="{174f43f0-ad76-4286-b462-51b42933bd12}"/>
        <w:style w:val=""/>
        <w:category>
          <w:name w:val="常规"/>
          <w:gallery w:val="placeholder"/>
        </w:category>
        <w:types>
          <w:type w:val="bbPlcHdr"/>
        </w:types>
        <w:behaviors>
          <w:behavior w:val="content"/>
        </w:behaviors>
        <w:description w:val=""/>
        <w:guid w:val="{174f43f0-ad76-4286-b462-51b42933bd12}"/>
      </w:docPartPr>
      <w:docPartBody>
        <w:p>
          <w:r>
            <w:rPr>
              <w:color w:val="808080"/>
            </w:rPr>
            <w:t>单击此处输入文字。</w:t>
          </w:r>
        </w:p>
      </w:docPartBody>
    </w:docPart>
    <w:docPart>
      <w:docPartPr>
        <w:name w:val="{9bf93b60-c718-4bd2-b087-887a05c323e4}"/>
        <w:style w:val=""/>
        <w:category>
          <w:name w:val="常规"/>
          <w:gallery w:val="placeholder"/>
        </w:category>
        <w:types>
          <w:type w:val="bbPlcHdr"/>
        </w:types>
        <w:behaviors>
          <w:behavior w:val="content"/>
        </w:behaviors>
        <w:description w:val=""/>
        <w:guid w:val="{9bf93b60-c718-4bd2-b087-887a05c323e4}"/>
      </w:docPartPr>
      <w:docPartBody>
        <w:p>
          <w:r>
            <w:rPr>
              <w:color w:val="808080"/>
            </w:rPr>
            <w:t>单击此处输入文字。</w:t>
          </w:r>
        </w:p>
      </w:docPartBody>
    </w:docPart>
    <w:docPart>
      <w:docPartPr>
        <w:name w:val="{caaa48a4-eb59-45ac-a1cd-f6b55352b9b4}"/>
        <w:style w:val=""/>
        <w:category>
          <w:name w:val="常规"/>
          <w:gallery w:val="placeholder"/>
        </w:category>
        <w:types>
          <w:type w:val="bbPlcHdr"/>
        </w:types>
        <w:behaviors>
          <w:behavior w:val="content"/>
        </w:behaviors>
        <w:description w:val=""/>
        <w:guid w:val="{caaa48a4-eb59-45ac-a1cd-f6b55352b9b4}"/>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splitPgBreakAndParaMark/>
    <w:compatSetting w:name="compatibilityMode" w:uri="http://schemas.microsoft.com/office/word" w:val="14"/>
  </w:compat>
  <w:rsids>
    <w:rsidRoot w:val="00644CCB"/>
    <w:rsid w:val="00644CCB"/>
    <w:rsid w:val="00682CE6"/>
    <w:rsid w:val="00A67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E6865C-B4AA-410E-BFD2-67D130AD0794}">
  <ds:schemaRefs/>
</ds:datastoreItem>
</file>

<file path=docProps/app.xml><?xml version="1.0" encoding="utf-8"?>
<Properties xmlns="http://schemas.openxmlformats.org/officeDocument/2006/extended-properties" xmlns:vt="http://schemas.openxmlformats.org/officeDocument/2006/docPropsVTypes">
  <Template>Normal.dotm</Template>
  <Pages>39</Pages>
  <Words>3388</Words>
  <Characters>19317</Characters>
  <Lines>160</Lines>
  <Paragraphs>45</Paragraphs>
  <TotalTime>30</TotalTime>
  <ScaleCrop>false</ScaleCrop>
  <LinksUpToDate>false</LinksUpToDate>
  <CharactersWithSpaces>22660</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2017-10-30T07:15:00Z</dcterms:created>
  <dcterms:modified xsi:type="dcterms:W3CDTF">2019-10-25T01:32:41Z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