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b/>
          <w:sz w:val="36"/>
          <w:szCs w:val="36"/>
          <w:lang w:eastAsia="zh-CN"/>
        </w:rPr>
      </w:pPr>
      <w:r>
        <w:rPr>
          <w:rFonts w:hint="eastAsia" w:asciiTheme="minorEastAsia" w:hAnsiTheme="minorEastAsia"/>
          <w:b/>
          <w:sz w:val="36"/>
          <w:szCs w:val="36"/>
          <w:lang w:eastAsia="zh-CN"/>
        </w:rPr>
        <w:t>元江县供销合作社联合社</w:t>
      </w:r>
    </w:p>
    <w:p>
      <w:pPr>
        <w:jc w:val="center"/>
        <w:rPr>
          <w:rFonts w:asciiTheme="minorEastAsia" w:hAnsiTheme="minorEastAsia"/>
          <w:b/>
          <w:sz w:val="36"/>
          <w:szCs w:val="36"/>
        </w:rPr>
      </w:pPr>
      <w:r>
        <w:rPr>
          <w:rFonts w:hint="eastAsia" w:asciiTheme="minorEastAsia" w:hAnsiTheme="minorEastAsia"/>
          <w:b/>
          <w:sz w:val="36"/>
          <w:szCs w:val="36"/>
        </w:rPr>
        <w:t>部门决算绩效评价管理情况说明</w:t>
      </w:r>
    </w:p>
    <w:p>
      <w:pPr>
        <w:pStyle w:val="6"/>
        <w:ind w:left="600" w:firstLine="300" w:firstLineChars="100"/>
        <w:rPr>
          <w:sz w:val="30"/>
          <w:szCs w:val="30"/>
        </w:rPr>
      </w:pPr>
    </w:p>
    <w:p>
      <w:pPr>
        <w:pStyle w:val="6"/>
        <w:ind w:left="600" w:firstLine="300" w:firstLineChars="100"/>
        <w:rPr>
          <w:sz w:val="30"/>
          <w:szCs w:val="30"/>
        </w:rPr>
      </w:pPr>
      <w:r>
        <w:rPr>
          <w:rFonts w:hint="eastAsia"/>
          <w:sz w:val="30"/>
          <w:szCs w:val="30"/>
        </w:rPr>
        <w:t>一、绩效评价工作开展情况</w:t>
      </w:r>
    </w:p>
    <w:p>
      <w:pPr>
        <w:ind w:firstLine="640" w:firstLineChars="200"/>
        <w:rPr>
          <w:rFonts w:ascii="仿宋" w:hAnsi="仿宋" w:eastAsia="仿宋"/>
          <w:color w:val="000000"/>
          <w:sz w:val="32"/>
        </w:rPr>
      </w:pPr>
      <w:r>
        <w:rPr>
          <w:rFonts w:hint="eastAsia" w:ascii="仿宋" w:hAnsi="仿宋" w:eastAsia="仿宋"/>
          <w:color w:val="000000"/>
          <w:sz w:val="32"/>
        </w:rPr>
        <w:t>为贯彻落实党的十九大关于</w:t>
      </w:r>
      <w:r>
        <w:rPr>
          <w:rFonts w:ascii="仿宋" w:hAnsi="仿宋" w:eastAsia="仿宋"/>
          <w:color w:val="000000"/>
          <w:sz w:val="32"/>
        </w:rPr>
        <w:t>“</w:t>
      </w:r>
      <w:r>
        <w:rPr>
          <w:rFonts w:hint="eastAsia" w:ascii="仿宋" w:hAnsi="仿宋" w:eastAsia="仿宋"/>
          <w:color w:val="000000"/>
          <w:sz w:val="32"/>
        </w:rPr>
        <w:t>全面实施绩效管理</w:t>
      </w:r>
      <w:r>
        <w:rPr>
          <w:rFonts w:ascii="仿宋" w:hAnsi="仿宋" w:eastAsia="仿宋"/>
          <w:color w:val="000000"/>
          <w:sz w:val="32"/>
        </w:rPr>
        <w:t>”</w:t>
      </w:r>
      <w:r>
        <w:rPr>
          <w:rFonts w:hint="eastAsia" w:ascii="仿宋" w:hAnsi="仿宋" w:eastAsia="仿宋"/>
          <w:color w:val="000000"/>
          <w:sz w:val="32"/>
        </w:rPr>
        <w:t>的战略部署，提高财政资源配置效率和使用效益，根据《中华人民共和国预算法》、</w:t>
      </w:r>
      <w:r>
        <w:rPr>
          <w:rFonts w:hint="eastAsia"/>
          <w:sz w:val="30"/>
          <w:szCs w:val="30"/>
        </w:rPr>
        <w:t>《</w:t>
      </w:r>
      <w:r>
        <w:rPr>
          <w:rFonts w:hint="eastAsia" w:ascii="仿宋" w:hAnsi="仿宋" w:eastAsia="仿宋"/>
          <w:color w:val="000000"/>
          <w:sz w:val="32"/>
        </w:rPr>
        <w:t>玉溪市市级财政预算绩效管理暂行办法》（玉财债[2016]16号）要求，</w:t>
      </w:r>
      <w:r>
        <w:rPr>
          <w:rFonts w:hint="eastAsia" w:ascii="仿宋" w:hAnsi="仿宋" w:eastAsia="仿宋"/>
          <w:color w:val="000000"/>
          <w:sz w:val="32"/>
          <w:lang w:eastAsia="zh-CN"/>
        </w:rPr>
        <w:t>县供销社</w:t>
      </w:r>
      <w:r>
        <w:rPr>
          <w:rFonts w:hint="eastAsia" w:ascii="仿宋" w:hAnsi="仿宋" w:eastAsia="仿宋"/>
          <w:color w:val="000000"/>
          <w:sz w:val="32"/>
        </w:rPr>
        <w:t>在2017年度组织对2017年度一般公共预算项目支出开展了绩效自评，部门决算中反映了项目绩效自评结果情况。</w:t>
      </w:r>
    </w:p>
    <w:p>
      <w:pPr>
        <w:numPr>
          <w:ilvl w:val="0"/>
          <w:numId w:val="1"/>
        </w:numPr>
        <w:ind w:firstLine="600" w:firstLineChars="200"/>
        <w:rPr>
          <w:sz w:val="30"/>
          <w:szCs w:val="30"/>
        </w:rPr>
      </w:pPr>
      <w:r>
        <w:rPr>
          <w:rFonts w:hint="eastAsia"/>
          <w:sz w:val="30"/>
          <w:szCs w:val="30"/>
        </w:rPr>
        <w:t>绩效评价结果</w:t>
      </w:r>
    </w:p>
    <w:p>
      <w:pPr>
        <w:ind w:firstLine="640" w:firstLineChars="200"/>
        <w:rPr>
          <w:rFonts w:ascii="仿宋" w:hAnsi="仿宋" w:eastAsia="仿宋"/>
          <w:color w:val="000000"/>
          <w:sz w:val="32"/>
        </w:rPr>
      </w:pPr>
      <w:r>
        <w:rPr>
          <w:rFonts w:hint="eastAsia" w:ascii="仿宋" w:hAnsi="仿宋" w:eastAsia="仿宋"/>
          <w:color w:val="000000"/>
          <w:sz w:val="32"/>
        </w:rPr>
        <w:t xml:space="preserve">根据年初设定的绩效目标，项目自评得分为 </w:t>
      </w:r>
      <w:r>
        <w:rPr>
          <w:rFonts w:hint="eastAsia" w:ascii="仿宋" w:hAnsi="仿宋" w:eastAsia="仿宋"/>
          <w:color w:val="000000"/>
          <w:sz w:val="32"/>
          <w:lang w:val="en-US" w:eastAsia="zh-CN"/>
        </w:rPr>
        <w:t>0</w:t>
      </w:r>
      <w:r>
        <w:rPr>
          <w:rFonts w:hint="eastAsia" w:ascii="仿宋" w:hAnsi="仿宋" w:eastAsia="仿宋"/>
          <w:color w:val="000000"/>
          <w:sz w:val="32"/>
        </w:rPr>
        <w:t xml:space="preserve"> 分。项目全年预算数为 </w:t>
      </w:r>
      <w:r>
        <w:rPr>
          <w:rFonts w:hint="eastAsia" w:ascii="仿宋" w:hAnsi="仿宋" w:eastAsia="仿宋"/>
          <w:color w:val="000000"/>
          <w:sz w:val="32"/>
          <w:lang w:val="en-US" w:eastAsia="zh-CN"/>
        </w:rPr>
        <w:t>30.6</w:t>
      </w:r>
      <w:r>
        <w:rPr>
          <w:rFonts w:hint="eastAsia" w:ascii="仿宋" w:hAnsi="仿宋" w:eastAsia="仿宋"/>
          <w:color w:val="000000"/>
          <w:sz w:val="32"/>
        </w:rPr>
        <w:t xml:space="preserve"> 万元，执行数为 </w:t>
      </w:r>
      <w:r>
        <w:rPr>
          <w:rFonts w:hint="eastAsia" w:ascii="仿宋" w:hAnsi="仿宋" w:eastAsia="仿宋"/>
          <w:color w:val="000000"/>
          <w:sz w:val="32"/>
          <w:lang w:val="en-US" w:eastAsia="zh-CN"/>
        </w:rPr>
        <w:t>30.6</w:t>
      </w:r>
      <w:r>
        <w:rPr>
          <w:rFonts w:hint="eastAsia" w:ascii="仿宋" w:hAnsi="仿宋" w:eastAsia="仿宋"/>
          <w:color w:val="000000"/>
          <w:sz w:val="32"/>
        </w:rPr>
        <w:t xml:space="preserve"> 万元，完成预算的</w:t>
      </w:r>
      <w:r>
        <w:rPr>
          <w:rFonts w:hint="eastAsia" w:ascii="仿宋" w:hAnsi="仿宋" w:eastAsia="仿宋"/>
          <w:color w:val="000000"/>
          <w:sz w:val="32"/>
          <w:lang w:val="en-US" w:eastAsia="zh-CN"/>
        </w:rPr>
        <w:t>100</w:t>
      </w:r>
      <w:r>
        <w:rPr>
          <w:rFonts w:hint="eastAsia" w:ascii="仿宋" w:hAnsi="仿宋" w:eastAsia="仿宋"/>
          <w:color w:val="000000"/>
          <w:sz w:val="32"/>
        </w:rPr>
        <w:t xml:space="preserve"> %。主要产出和效果：通过项目实施，有效保障了国库集中支付业务和政府采购代理机构监督检查工作的顺利开展。</w:t>
      </w:r>
    </w:p>
    <w:p>
      <w:pPr>
        <w:ind w:firstLine="640" w:firstLineChars="200"/>
        <w:rPr>
          <w:rFonts w:ascii="仿宋" w:hAnsi="仿宋" w:eastAsia="仿宋"/>
          <w:color w:val="000000"/>
          <w:sz w:val="32"/>
        </w:rPr>
      </w:pPr>
      <w:r>
        <w:rPr>
          <w:rFonts w:hint="eastAsia" w:ascii="仿宋" w:hAnsi="仿宋" w:eastAsia="仿宋"/>
          <w:color w:val="000000"/>
          <w:sz w:val="32"/>
        </w:rPr>
        <w:t>下一步改进措施：根据项目资金使用情况，及时调整预算。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Style w:val="5"/>
        <w:tblW w:w="20298" w:type="dxa"/>
        <w:tblInd w:w="0" w:type="dxa"/>
        <w:tblLayout w:type="fixed"/>
        <w:tblCellMar>
          <w:top w:w="15" w:type="dxa"/>
          <w:left w:w="15" w:type="dxa"/>
          <w:bottom w:w="15" w:type="dxa"/>
          <w:right w:w="15" w:type="dxa"/>
        </w:tblCellMar>
      </w:tblPr>
      <w:tblGrid>
        <w:gridCol w:w="1080"/>
        <w:gridCol w:w="1354"/>
        <w:gridCol w:w="1354"/>
        <w:gridCol w:w="790"/>
        <w:gridCol w:w="580"/>
        <w:gridCol w:w="2075"/>
        <w:gridCol w:w="955"/>
        <w:gridCol w:w="2430"/>
        <w:gridCol w:w="2420"/>
        <w:gridCol w:w="2420"/>
        <w:gridCol w:w="2420"/>
        <w:gridCol w:w="2420"/>
      </w:tblGrid>
      <w:tr>
        <w:tblPrEx>
          <w:tblLayout w:type="fixed"/>
          <w:tblCellMar>
            <w:top w:w="15" w:type="dxa"/>
            <w:left w:w="15" w:type="dxa"/>
            <w:bottom w:w="15" w:type="dxa"/>
            <w:right w:w="15" w:type="dxa"/>
          </w:tblCellMar>
        </w:tblPrEx>
        <w:trPr>
          <w:trHeight w:val="405" w:hRule="atLeast"/>
        </w:trPr>
        <w:tc>
          <w:tcPr>
            <w:tcW w:w="10618" w:type="dxa"/>
            <w:gridSpan w:val="8"/>
            <w:shd w:val="clear" w:color="auto" w:fill="auto"/>
            <w:vAlign w:val="center"/>
          </w:tcPr>
          <w:p>
            <w:pPr>
              <w:widowControl/>
              <w:textAlignment w:val="center"/>
              <w:rPr>
                <w:rFonts w:ascii="仿宋_GB2312" w:hAnsi="宋体" w:eastAsia="仿宋_GB2312" w:cs="仿宋_GB2312"/>
                <w:b/>
                <w:color w:val="000000"/>
                <w:kern w:val="0"/>
                <w:sz w:val="32"/>
                <w:szCs w:val="32"/>
              </w:rPr>
            </w:pPr>
          </w:p>
          <w:p>
            <w:pPr>
              <w:widowControl/>
              <w:ind w:firstLine="1285" w:firstLineChars="400"/>
              <w:textAlignment w:val="center"/>
              <w:rPr>
                <w:rFonts w:ascii="仿宋_GB2312" w:hAnsi="宋体" w:eastAsia="仿宋_GB2312" w:cs="仿宋_GB2312"/>
                <w:b/>
                <w:color w:val="000000"/>
                <w:sz w:val="32"/>
                <w:szCs w:val="32"/>
              </w:rPr>
            </w:pPr>
            <w:r>
              <w:rPr>
                <w:rFonts w:hint="eastAsia" w:ascii="仿宋_GB2312" w:hAnsi="宋体" w:eastAsia="仿宋_GB2312" w:cs="仿宋_GB2312"/>
                <w:b/>
                <w:color w:val="000000"/>
                <w:kern w:val="0"/>
                <w:sz w:val="32"/>
                <w:szCs w:val="32"/>
              </w:rPr>
              <w:t>县级部门项目支出绩效评价结果信息公开</w:t>
            </w: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c>
          <w:tcPr>
            <w:tcW w:w="2420" w:type="dxa"/>
            <w:shd w:val="clear" w:color="auto" w:fill="auto"/>
            <w:vAlign w:val="center"/>
          </w:tcPr>
          <w:p>
            <w:pPr>
              <w:widowControl/>
              <w:textAlignment w:val="center"/>
              <w:rPr>
                <w:rFonts w:ascii="仿宋_GB2312" w:hAnsi="宋体" w:eastAsia="仿宋_GB2312" w:cs="仿宋_GB2312"/>
                <w:b/>
                <w:color w:val="000000"/>
                <w:kern w:val="0"/>
                <w:sz w:val="32"/>
                <w:szCs w:val="32"/>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项目名称（全称）</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元江县兴民食用菌专业合作社年产</w:t>
            </w:r>
            <w:r>
              <w:rPr>
                <w:rFonts w:hint="eastAsia" w:ascii="仿宋_GB2312" w:hAnsi="宋体" w:eastAsia="仿宋_GB2312" w:cs="仿宋_GB2312"/>
                <w:color w:val="000000"/>
                <w:kern w:val="0"/>
                <w:sz w:val="24"/>
                <w:szCs w:val="24"/>
                <w:lang w:val="en-US" w:eastAsia="zh-CN"/>
              </w:rPr>
              <w:t>800吨食用菌生产基地建设项目</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预算单位</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元江哈尼族彝族傣族自治县供销合作社联合社</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预算主管部门</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both"/>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eastAsia="zh-CN"/>
              </w:rPr>
              <w:t>元江哈尼族彝族傣族自治县财政局</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项目所属年度</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2017年</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61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项目预算安排（万元）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30.6</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555"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项目实际支出（万元）</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sz w:val="24"/>
                <w:szCs w:val="24"/>
              </w:rPr>
            </w:pPr>
            <w:r>
              <w:rPr>
                <w:rFonts w:hint="eastAsia" w:ascii="仿宋_GB2312" w:hAnsi="宋体" w:eastAsia="仿宋_GB2312" w:cs="仿宋_GB2312"/>
                <w:color w:val="000000"/>
                <w:kern w:val="0"/>
                <w:sz w:val="24"/>
                <w:szCs w:val="24"/>
                <w:lang w:val="en-US" w:eastAsia="zh-CN"/>
              </w:rPr>
              <w:t>30.6</w:t>
            </w:r>
            <w:r>
              <w:rPr>
                <w:rFonts w:hint="eastAsia" w:ascii="仿宋_GB2312" w:hAnsi="宋体" w:eastAsia="仿宋_GB2312" w:cs="仿宋_GB2312"/>
                <w:color w:val="000000"/>
                <w:kern w:val="0"/>
                <w:sz w:val="24"/>
                <w:szCs w:val="24"/>
              </w:rPr>
              <w:t xml:space="preserve"> </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仿宋_GB2312" w:hAnsi="宋体" w:eastAsia="仿宋_GB2312" w:cs="仿宋_GB2312"/>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项目评价类型</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color w:val="000000"/>
                <w:sz w:val="24"/>
                <w:szCs w:val="24"/>
                <w:lang w:eastAsia="zh-CN"/>
              </w:rPr>
            </w:pPr>
            <w:r>
              <w:rPr>
                <w:rFonts w:hint="eastAsia" w:ascii="仿宋_GB2312" w:hAnsi="宋体" w:eastAsia="仿宋_GB2312" w:cs="仿宋_GB2312"/>
                <w:color w:val="000000"/>
                <w:sz w:val="24"/>
                <w:szCs w:val="24"/>
                <w:lang w:eastAsia="zh-CN"/>
              </w:rPr>
              <w:t>未评价</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512"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项目评价结果</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宋体" w:eastAsia="仿宋_GB2312" w:cs="仿宋_GB2312"/>
                <w:color w:val="000000"/>
                <w:sz w:val="24"/>
                <w:szCs w:val="24"/>
                <w:lang w:eastAsia="zh-CN"/>
              </w:rPr>
            </w:pPr>
            <w:r>
              <w:rPr>
                <w:rFonts w:hint="eastAsia" w:ascii="仿宋_GB2312" w:hAnsi="宋体" w:eastAsia="仿宋_GB2312" w:cs="仿宋_GB2312"/>
                <w:color w:val="000000"/>
                <w:sz w:val="24"/>
                <w:szCs w:val="24"/>
                <w:lang w:val="en-US" w:eastAsia="zh-CN"/>
              </w:rPr>
              <w:t>0</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仿宋_GB2312" w:hAnsi="宋体" w:eastAsia="仿宋_GB2312" w:cs="仿宋_GB2312"/>
                <w:color w:val="000000"/>
                <w:sz w:val="24"/>
                <w:szCs w:val="24"/>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一、主要绩效目标完成情况</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评价指标</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预期绩效指标（内容和值）</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指标完成情况</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差异说明</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项目产出</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sz w:val="20"/>
                <w:szCs w:val="20"/>
                <w:lang w:eastAsia="zh-CN"/>
              </w:rPr>
              <w:t>建设年生产食用菌</w:t>
            </w:r>
            <w:r>
              <w:rPr>
                <w:rFonts w:hint="eastAsia" w:ascii="仿宋_GB2312" w:hAnsi="宋体" w:eastAsia="仿宋_GB2312" w:cs="仿宋_GB2312"/>
                <w:color w:val="000000"/>
                <w:sz w:val="20"/>
                <w:szCs w:val="20"/>
                <w:lang w:val="en-US" w:eastAsia="zh-CN"/>
              </w:rPr>
              <w:t>700吨</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食用菌已完成</w:t>
            </w:r>
            <w:r>
              <w:rPr>
                <w:rFonts w:hint="eastAsia" w:ascii="仿宋_GB2312" w:hAnsi="宋体" w:eastAsia="仿宋_GB2312" w:cs="仿宋_GB2312"/>
                <w:color w:val="000000"/>
                <w:kern w:val="0"/>
                <w:sz w:val="20"/>
                <w:szCs w:val="20"/>
                <w:lang w:val="en-US" w:eastAsia="zh-CN"/>
              </w:rPr>
              <w:t>800吨以上</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524"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color w:val="000000"/>
                <w:sz w:val="20"/>
                <w:szCs w:val="20"/>
                <w:lang w:val="en-US" w:eastAsia="zh-CN"/>
              </w:rPr>
            </w:pPr>
          </w:p>
          <w:p>
            <w:pPr>
              <w:rPr>
                <w:rFonts w:hint="eastAsia" w:ascii="仿宋_GB2312" w:hAnsi="宋体" w:eastAsia="仿宋_GB2312" w:cs="仿宋_GB2312"/>
                <w:color w:val="000000"/>
                <w:sz w:val="20"/>
                <w:szCs w:val="20"/>
                <w:lang w:val="en-US" w:eastAsia="zh-CN"/>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项目效益</w:t>
            </w: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r>
              <w:rPr>
                <w:rFonts w:hint="eastAsia" w:ascii="仿宋_GB2312" w:hAnsi="宋体" w:eastAsia="仿宋_GB2312" w:cs="仿宋_GB2312"/>
                <w:color w:val="000000"/>
                <w:sz w:val="20"/>
                <w:szCs w:val="20"/>
                <w:lang w:eastAsia="zh-CN"/>
              </w:rPr>
              <w:t>销售收入</w:t>
            </w:r>
            <w:r>
              <w:rPr>
                <w:rFonts w:hint="eastAsia" w:ascii="仿宋_GB2312" w:hAnsi="宋体" w:eastAsia="仿宋_GB2312" w:cs="仿宋_GB2312"/>
                <w:color w:val="000000"/>
                <w:sz w:val="20"/>
                <w:szCs w:val="20"/>
                <w:lang w:val="en-US" w:eastAsia="zh-CN"/>
              </w:rPr>
              <w:t>900万元</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color w:val="000000"/>
                <w:sz w:val="20"/>
                <w:szCs w:val="20"/>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销售收入已完成</w:t>
            </w:r>
            <w:r>
              <w:rPr>
                <w:rFonts w:hint="eastAsia" w:ascii="仿宋_GB2312" w:hAnsi="宋体" w:eastAsia="仿宋_GB2312" w:cs="仿宋_GB2312"/>
                <w:color w:val="000000"/>
                <w:kern w:val="0"/>
                <w:sz w:val="20"/>
                <w:szCs w:val="20"/>
                <w:lang w:val="en-US" w:eastAsia="zh-CN"/>
              </w:rPr>
              <w:t>1000万以上</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sz w:val="20"/>
                <w:szCs w:val="20"/>
                <w:lang w:eastAsia="zh-CN"/>
              </w:rPr>
              <w:t>项目建成后，计划提供就业人员</w:t>
            </w:r>
            <w:r>
              <w:rPr>
                <w:rFonts w:hint="eastAsia" w:ascii="仿宋_GB2312" w:hAnsi="宋体" w:eastAsia="仿宋_GB2312" w:cs="仿宋_GB2312"/>
                <w:color w:val="000000"/>
                <w:sz w:val="20"/>
                <w:szCs w:val="20"/>
                <w:lang w:val="en-US" w:eastAsia="zh-CN"/>
              </w:rPr>
              <w:t>50个</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实际达</w:t>
            </w:r>
            <w:r>
              <w:rPr>
                <w:rFonts w:hint="eastAsia" w:ascii="仿宋_GB2312" w:hAnsi="宋体" w:eastAsia="仿宋_GB2312" w:cs="仿宋_GB2312"/>
                <w:color w:val="000000"/>
                <w:kern w:val="0"/>
                <w:sz w:val="20"/>
                <w:szCs w:val="20"/>
                <w:lang w:val="en-US" w:eastAsia="zh-CN"/>
              </w:rPr>
              <w:t>55个以上</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000000"/>
                <w:sz w:val="24"/>
                <w:szCs w:val="24"/>
              </w:rPr>
            </w:pPr>
          </w:p>
        </w:tc>
        <w:tc>
          <w:tcPr>
            <w:tcW w:w="349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sz w:val="20"/>
                <w:szCs w:val="20"/>
                <w:lang w:eastAsia="zh-CN"/>
              </w:rPr>
              <w:t>计划带动</w:t>
            </w:r>
            <w:r>
              <w:rPr>
                <w:rFonts w:hint="eastAsia" w:ascii="仿宋_GB2312" w:hAnsi="宋体" w:eastAsia="仿宋_GB2312" w:cs="仿宋_GB2312"/>
                <w:color w:val="000000"/>
                <w:sz w:val="20"/>
                <w:szCs w:val="20"/>
                <w:lang w:val="en-US" w:eastAsia="zh-CN"/>
              </w:rPr>
              <w:t>40户上以上脱贫致富</w:t>
            </w:r>
          </w:p>
        </w:tc>
        <w:tc>
          <w:tcPr>
            <w:tcW w:w="265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kern w:val="0"/>
                <w:sz w:val="20"/>
                <w:szCs w:val="20"/>
              </w:rPr>
              <w:t xml:space="preserve"> </w:t>
            </w:r>
            <w:r>
              <w:rPr>
                <w:rFonts w:hint="eastAsia" w:ascii="仿宋_GB2312" w:hAnsi="宋体" w:eastAsia="仿宋_GB2312" w:cs="仿宋_GB2312"/>
                <w:color w:val="000000"/>
                <w:kern w:val="0"/>
                <w:sz w:val="20"/>
                <w:szCs w:val="20"/>
                <w:lang w:eastAsia="zh-CN"/>
              </w:rPr>
              <w:t>实际达</w:t>
            </w:r>
            <w:r>
              <w:rPr>
                <w:rFonts w:hint="eastAsia" w:ascii="仿宋_GB2312" w:hAnsi="宋体" w:eastAsia="仿宋_GB2312" w:cs="仿宋_GB2312"/>
                <w:color w:val="000000"/>
                <w:kern w:val="0"/>
                <w:sz w:val="20"/>
                <w:szCs w:val="20"/>
                <w:lang w:val="en-US" w:eastAsia="zh-CN"/>
              </w:rPr>
              <w:t>45户以上</w:t>
            </w:r>
          </w:p>
        </w:tc>
        <w:tc>
          <w:tcPr>
            <w:tcW w:w="33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480" w:hRule="atLeast"/>
        </w:trPr>
        <w:tc>
          <w:tcPr>
            <w:tcW w:w="10618"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二、评价综合意见</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eastAsia="宋体" w:cs="宋体"/>
                <w:color w:val="000000"/>
                <w:kern w:val="0"/>
                <w:sz w:val="24"/>
                <w:szCs w:val="24"/>
              </w:rPr>
            </w:pPr>
          </w:p>
        </w:tc>
      </w:tr>
      <w:tr>
        <w:tblPrEx>
          <w:tblLayout w:type="fixed"/>
          <w:tblCellMar>
            <w:top w:w="15" w:type="dxa"/>
            <w:left w:w="15" w:type="dxa"/>
            <w:bottom w:w="15" w:type="dxa"/>
            <w:right w:w="15" w:type="dxa"/>
          </w:tblCellMar>
        </w:tblPrEx>
        <w:trPr>
          <w:trHeight w:val="659"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主要绩效情况</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宋体" w:eastAsia="仿宋_GB2312" w:cs="仿宋_GB2312"/>
                <w:color w:val="000000"/>
                <w:sz w:val="20"/>
                <w:szCs w:val="20"/>
                <w:lang w:val="en-US" w:eastAsia="zh-CN"/>
              </w:rPr>
            </w:pPr>
            <w:r>
              <w:rPr>
                <w:rFonts w:hint="eastAsia" w:ascii="仿宋_GB2312" w:hAnsi="宋体" w:eastAsia="仿宋_GB2312" w:cs="仿宋_GB2312"/>
                <w:color w:val="000000"/>
                <w:sz w:val="20"/>
                <w:szCs w:val="20"/>
                <w:lang w:eastAsia="zh-CN"/>
              </w:rPr>
              <w:t>项目建成后可安排就业岗位</w:t>
            </w:r>
            <w:r>
              <w:rPr>
                <w:rFonts w:hint="eastAsia" w:ascii="仿宋_GB2312" w:hAnsi="宋体" w:eastAsia="仿宋_GB2312" w:cs="仿宋_GB2312"/>
                <w:color w:val="000000"/>
                <w:sz w:val="20"/>
                <w:szCs w:val="20"/>
                <w:lang w:val="en-US" w:eastAsia="zh-CN"/>
              </w:rPr>
              <w:t>50人以上，年销售收入1000万元以上，带动40户以上脱贫致富致富，项目效益较好。</w:t>
            </w: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683" w:hRule="atLeast"/>
        </w:trPr>
        <w:tc>
          <w:tcPr>
            <w:tcW w:w="24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000000"/>
                <w:sz w:val="24"/>
                <w:szCs w:val="24"/>
              </w:rPr>
            </w:pPr>
            <w:r>
              <w:rPr>
                <w:rFonts w:hint="eastAsia" w:ascii="宋体" w:hAnsi="宋体" w:eastAsia="宋体" w:cs="宋体"/>
                <w:color w:val="000000"/>
                <w:kern w:val="0"/>
                <w:sz w:val="24"/>
                <w:szCs w:val="24"/>
              </w:rPr>
              <w:t>主要问题与建议</w:t>
            </w:r>
          </w:p>
        </w:tc>
        <w:tc>
          <w:tcPr>
            <w:tcW w:w="8184"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宋体" w:eastAsia="仿宋_GB2312" w:cs="仿宋_GB2312"/>
                <w:color w:val="000000"/>
                <w:sz w:val="20"/>
                <w:szCs w:val="20"/>
                <w:lang w:eastAsia="zh-CN"/>
              </w:rPr>
            </w:pPr>
            <w:r>
              <w:rPr>
                <w:rFonts w:hint="eastAsia" w:ascii="仿宋_GB2312" w:hAnsi="宋体" w:eastAsia="仿宋_GB2312" w:cs="仿宋_GB2312"/>
                <w:color w:val="000000"/>
                <w:sz w:val="20"/>
                <w:szCs w:val="20"/>
                <w:lang w:eastAsia="zh-CN"/>
              </w:rPr>
              <w:t>存在的问题资金不足，建议国家政策多扶贫农民专业合作社。</w:t>
            </w:r>
            <w:bookmarkStart w:id="0" w:name="_GoBack"/>
            <w:bookmarkEnd w:id="0"/>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c>
          <w:tcPr>
            <w:tcW w:w="242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仿宋_GB2312" w:hAnsi="宋体" w:eastAsia="仿宋_GB2312" w:cs="仿宋_GB2312"/>
                <w:color w:val="000000"/>
                <w:sz w:val="20"/>
                <w:szCs w:val="20"/>
              </w:rPr>
            </w:pPr>
          </w:p>
        </w:tc>
      </w:tr>
      <w:tr>
        <w:tblPrEx>
          <w:tblLayout w:type="fixed"/>
          <w:tblCellMar>
            <w:top w:w="15" w:type="dxa"/>
            <w:left w:w="15" w:type="dxa"/>
            <w:bottom w:w="15" w:type="dxa"/>
            <w:right w:w="15" w:type="dxa"/>
          </w:tblCellMar>
        </w:tblPrEx>
        <w:trPr>
          <w:trHeight w:val="286" w:hRule="atLeast"/>
        </w:trPr>
        <w:tc>
          <w:tcPr>
            <w:tcW w:w="1080"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54" w:type="dxa"/>
            <w:shd w:val="clear" w:color="auto" w:fill="auto"/>
            <w:vAlign w:val="center"/>
          </w:tcPr>
          <w:p>
            <w:pPr>
              <w:rPr>
                <w:rFonts w:ascii="宋体" w:hAnsi="宋体" w:eastAsia="宋体" w:cs="宋体"/>
                <w:color w:val="000000"/>
                <w:sz w:val="24"/>
                <w:szCs w:val="24"/>
              </w:rPr>
            </w:pPr>
          </w:p>
        </w:tc>
        <w:tc>
          <w:tcPr>
            <w:tcW w:w="1370" w:type="dxa"/>
            <w:gridSpan w:val="2"/>
            <w:shd w:val="clear" w:color="auto" w:fill="auto"/>
            <w:vAlign w:val="center"/>
          </w:tcPr>
          <w:p>
            <w:pPr>
              <w:rPr>
                <w:rFonts w:ascii="宋体" w:hAnsi="宋体" w:eastAsia="宋体" w:cs="宋体"/>
                <w:color w:val="000000"/>
                <w:sz w:val="24"/>
                <w:szCs w:val="24"/>
              </w:rPr>
            </w:pPr>
          </w:p>
        </w:tc>
        <w:tc>
          <w:tcPr>
            <w:tcW w:w="3030" w:type="dxa"/>
            <w:gridSpan w:val="2"/>
            <w:shd w:val="clear" w:color="auto" w:fill="auto"/>
            <w:vAlign w:val="center"/>
          </w:tcPr>
          <w:p>
            <w:pPr>
              <w:rPr>
                <w:rFonts w:ascii="宋体" w:hAnsi="宋体" w:eastAsia="宋体" w:cs="宋体"/>
                <w:color w:val="000000"/>
                <w:sz w:val="24"/>
                <w:szCs w:val="24"/>
              </w:rPr>
            </w:pPr>
          </w:p>
        </w:tc>
        <w:tc>
          <w:tcPr>
            <w:tcW w:w="243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c>
          <w:tcPr>
            <w:tcW w:w="2420" w:type="dxa"/>
            <w:shd w:val="clear" w:color="auto" w:fill="auto"/>
            <w:vAlign w:val="center"/>
          </w:tcPr>
          <w:p>
            <w:pPr>
              <w:rPr>
                <w:rFonts w:ascii="宋体" w:hAnsi="宋体" w:eastAsia="宋体" w:cs="宋体"/>
                <w:color w:val="000000"/>
                <w:sz w:val="24"/>
                <w:szCs w:val="24"/>
              </w:rPr>
            </w:pPr>
          </w:p>
        </w:tc>
      </w:tr>
      <w:tr>
        <w:tblPrEx>
          <w:tblLayout w:type="fixed"/>
          <w:tblCellMar>
            <w:top w:w="15" w:type="dxa"/>
            <w:left w:w="15" w:type="dxa"/>
            <w:bottom w:w="15" w:type="dxa"/>
            <w:right w:w="15" w:type="dxa"/>
          </w:tblCellMar>
        </w:tblPrEx>
        <w:trPr>
          <w:trHeight w:val="735" w:hRule="atLeast"/>
        </w:trPr>
        <w:tc>
          <w:tcPr>
            <w:tcW w:w="10618" w:type="dxa"/>
            <w:gridSpan w:val="8"/>
            <w:shd w:val="clear" w:color="auto" w:fill="auto"/>
            <w:vAlign w:val="center"/>
          </w:tcPr>
          <w:p>
            <w:pPr>
              <w:widowControl/>
              <w:textAlignment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     预算单位：</w:t>
            </w:r>
            <w:r>
              <w:rPr>
                <w:rFonts w:hint="eastAsia" w:ascii="宋体" w:hAnsi="宋体" w:eastAsia="宋体" w:cs="宋体"/>
                <w:color w:val="000000"/>
                <w:kern w:val="0"/>
                <w:sz w:val="24"/>
                <w:szCs w:val="24"/>
                <w:lang w:eastAsia="zh-CN"/>
              </w:rPr>
              <w:t>元江哈尼族彝族傣族自治县供销合作社联合社</w:t>
            </w:r>
            <w:r>
              <w:rPr>
                <w:rFonts w:hint="eastAsia" w:ascii="宋体" w:hAnsi="宋体" w:eastAsia="宋体" w:cs="宋体"/>
                <w:color w:val="000000"/>
                <w:kern w:val="0"/>
                <w:sz w:val="24"/>
                <w:szCs w:val="24"/>
              </w:rPr>
              <w:t xml:space="preserve">     公告时间：</w:t>
            </w:r>
          </w:p>
          <w:p>
            <w:pPr>
              <w:jc w:val="center"/>
              <w:rPr>
                <w:rFonts w:ascii="Times New Roman" w:hAnsi="仿宋" w:eastAsia="仿宋" w:cs="Times New Roman"/>
                <w:sz w:val="32"/>
                <w:szCs w:val="32"/>
              </w:rPr>
            </w:pPr>
            <w:r>
              <w:rPr>
                <w:rFonts w:ascii="Times New Roman" w:hAnsi="Times New Roman" w:eastAsia="仿宋" w:cs="Times New Roman"/>
                <w:b/>
                <w:sz w:val="32"/>
                <w:szCs w:val="32"/>
              </w:rPr>
              <w:t xml:space="preserve">                 </w:t>
            </w:r>
            <w:r>
              <w:rPr>
                <w:rFonts w:ascii="Times New Roman" w:hAnsi="Times New Roman" w:eastAsia="仿宋" w:cs="Times New Roman"/>
                <w:sz w:val="32"/>
                <w:szCs w:val="32"/>
              </w:rPr>
              <w:t xml:space="preserve"> </w:t>
            </w:r>
          </w:p>
          <w:p>
            <w:pPr>
              <w:jc w:val="center"/>
              <w:rPr>
                <w:rFonts w:ascii="宋体" w:hAnsi="宋体" w:eastAsia="宋体" w:cs="宋体"/>
                <w:color w:val="000000"/>
                <w:sz w:val="24"/>
                <w:szCs w:val="24"/>
              </w:rPr>
            </w:pPr>
            <w:r>
              <w:rPr>
                <w:rFonts w:ascii="Times New Roman" w:hAnsi="Times New Roman" w:eastAsia="仿宋" w:cs="Times New Roman"/>
                <w:sz w:val="32"/>
                <w:szCs w:val="32"/>
              </w:rPr>
              <w:t xml:space="preserve">                 2018</w:t>
            </w:r>
            <w:r>
              <w:rPr>
                <w:rFonts w:ascii="Times New Roman" w:hAnsi="仿宋" w:eastAsia="仿宋" w:cs="Times New Roman"/>
                <w:sz w:val="32"/>
                <w:szCs w:val="32"/>
              </w:rPr>
              <w:t>年</w:t>
            </w:r>
            <w:r>
              <w:rPr>
                <w:rFonts w:hint="eastAsia" w:ascii="Times New Roman" w:hAnsi="Times New Roman" w:eastAsia="仿宋" w:cs="Times New Roman"/>
                <w:sz w:val="32"/>
                <w:szCs w:val="32"/>
              </w:rPr>
              <w:t>10</w:t>
            </w:r>
            <w:r>
              <w:rPr>
                <w:rFonts w:ascii="Times New Roman" w:hAnsi="仿宋" w:eastAsia="仿宋" w:cs="Times New Roman"/>
                <w:sz w:val="32"/>
                <w:szCs w:val="32"/>
              </w:rPr>
              <w:t>月</w:t>
            </w:r>
            <w:r>
              <w:rPr>
                <w:rFonts w:hint="eastAsia" w:ascii="Times New Roman" w:hAnsi="Times New Roman" w:eastAsia="仿宋" w:cs="Times New Roman"/>
                <w:sz w:val="32"/>
                <w:szCs w:val="32"/>
              </w:rPr>
              <w:t>29</w:t>
            </w:r>
            <w:r>
              <w:rPr>
                <w:rFonts w:ascii="Times New Roman" w:hAnsi="仿宋" w:eastAsia="仿宋" w:cs="Times New Roman"/>
                <w:sz w:val="32"/>
                <w:szCs w:val="32"/>
              </w:rPr>
              <w:t>日</w:t>
            </w: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c>
          <w:tcPr>
            <w:tcW w:w="2420" w:type="dxa"/>
            <w:shd w:val="clear" w:color="auto" w:fill="auto"/>
            <w:vAlign w:val="center"/>
          </w:tcPr>
          <w:p>
            <w:pPr>
              <w:widowControl/>
              <w:textAlignment w:val="center"/>
              <w:rPr>
                <w:rFonts w:ascii="宋体" w:hAnsi="宋体" w:eastAsia="宋体" w:cs="宋体"/>
                <w:color w:val="000000"/>
                <w:kern w:val="0"/>
                <w:sz w:val="24"/>
                <w:szCs w:val="24"/>
              </w:rPr>
            </w:pPr>
          </w:p>
        </w:tc>
      </w:tr>
    </w:tbl>
    <w:p>
      <w:pPr>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4AC8E1"/>
    <w:multiLevelType w:val="singleLevel"/>
    <w:tmpl w:val="5C4AC8E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17C7B"/>
    <w:rsid w:val="00080321"/>
    <w:rsid w:val="00107899"/>
    <w:rsid w:val="00131F54"/>
    <w:rsid w:val="00172A27"/>
    <w:rsid w:val="00237EFB"/>
    <w:rsid w:val="00275322"/>
    <w:rsid w:val="0028424D"/>
    <w:rsid w:val="003D36D1"/>
    <w:rsid w:val="004242EA"/>
    <w:rsid w:val="004261C0"/>
    <w:rsid w:val="00510743"/>
    <w:rsid w:val="006922B8"/>
    <w:rsid w:val="007B55FF"/>
    <w:rsid w:val="007E5F5F"/>
    <w:rsid w:val="00922835"/>
    <w:rsid w:val="00A658CA"/>
    <w:rsid w:val="00BA42E4"/>
    <w:rsid w:val="00BB1055"/>
    <w:rsid w:val="00C5525D"/>
    <w:rsid w:val="00D069A4"/>
    <w:rsid w:val="00FE221E"/>
    <w:rsid w:val="0B6D7051"/>
    <w:rsid w:val="12484C52"/>
    <w:rsid w:val="12F71901"/>
    <w:rsid w:val="234D4C5B"/>
    <w:rsid w:val="23792AE9"/>
    <w:rsid w:val="24557AF9"/>
    <w:rsid w:val="359065DB"/>
    <w:rsid w:val="484C3651"/>
    <w:rsid w:val="75112F4E"/>
    <w:rsid w:val="7874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列出段落1"/>
    <w:basedOn w:val="1"/>
    <w:qFormat/>
    <w:uiPriority w:val="34"/>
    <w:pPr>
      <w:ind w:firstLine="420" w:firstLineChars="200"/>
    </w:pPr>
  </w:style>
  <w:style w:type="paragraph" w:customStyle="1" w:styleId="7">
    <w:name w:val="Default"/>
    <w:unhideWhenUsed/>
    <w:qFormat/>
    <w:uiPriority w:val="99"/>
    <w:pPr>
      <w:widowControl w:val="0"/>
      <w:autoSpaceDE w:val="0"/>
      <w:autoSpaceDN w:val="0"/>
      <w:adjustRightInd w:val="0"/>
    </w:pPr>
    <w:rPr>
      <w:rFonts w:hint="eastAsia" w:ascii="仿宋" w:hAnsi="仿宋" w:eastAsia="仿宋" w:cs="Times New Roman"/>
      <w:color w:val="000000"/>
      <w:sz w:val="24"/>
      <w:lang w:val="en-US" w:eastAsia="zh-CN" w:bidi="ar-SA"/>
    </w:rPr>
  </w:style>
  <w:style w:type="character" w:customStyle="1" w:styleId="8">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130</Words>
  <Characters>744</Characters>
  <Lines>6</Lines>
  <Paragraphs>1</Paragraphs>
  <TotalTime>22</TotalTime>
  <ScaleCrop>false</ScaleCrop>
  <LinksUpToDate>false</LinksUpToDate>
  <CharactersWithSpaces>873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2019-01-26T00:51:00Z</dcterms:created>
  <dc:creator>dell</dc:creator>
  <cp:lastModifiedBy>白佑福</cp:lastModifiedBy>
  <dcterms:modified xsi:type="dcterms:W3CDTF">2019-01-28T00:08:49Z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