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6"/>
          <w:szCs w:val="36"/>
        </w:rPr>
      </w:pPr>
      <w:r>
        <w:rPr>
          <w:rFonts w:hint="eastAsia" w:asciiTheme="minorEastAsia" w:hAnsiTheme="minorEastAsia"/>
          <w:b/>
          <w:sz w:val="36"/>
          <w:szCs w:val="36"/>
          <w:lang w:eastAsia="zh-CN"/>
        </w:rPr>
        <w:t>元江工业园区管理委会</w:t>
      </w:r>
      <w:r>
        <w:rPr>
          <w:rFonts w:hint="eastAsia" w:asciiTheme="minorEastAsia" w:hAnsiTheme="minorEastAsia"/>
          <w:b/>
          <w:sz w:val="36"/>
          <w:szCs w:val="36"/>
        </w:rPr>
        <w:t>部门决算绩效评价管理情况说明</w:t>
      </w:r>
    </w:p>
    <w:p>
      <w:pPr>
        <w:pStyle w:val="6"/>
        <w:ind w:left="600" w:firstLine="300" w:firstLineChars="100"/>
        <w:rPr>
          <w:sz w:val="30"/>
          <w:szCs w:val="30"/>
        </w:rPr>
      </w:pPr>
    </w:p>
    <w:p>
      <w:pPr>
        <w:pStyle w:val="6"/>
        <w:ind w:left="600" w:firstLine="300" w:firstLineChars="100"/>
        <w:rPr>
          <w:sz w:val="30"/>
          <w:szCs w:val="30"/>
        </w:rPr>
      </w:pPr>
      <w:r>
        <w:rPr>
          <w:rFonts w:hint="eastAsia"/>
          <w:sz w:val="30"/>
          <w:szCs w:val="30"/>
        </w:rPr>
        <w:t>一、绩效评价工作开展情况</w:t>
      </w:r>
    </w:p>
    <w:p>
      <w:pPr>
        <w:ind w:firstLine="640" w:firstLineChars="200"/>
        <w:rPr>
          <w:rFonts w:ascii="仿宋" w:hAnsi="仿宋" w:eastAsia="仿宋"/>
          <w:color w:val="000000"/>
          <w:sz w:val="32"/>
        </w:rPr>
      </w:pPr>
      <w:r>
        <w:rPr>
          <w:rFonts w:hint="eastAsia" w:ascii="仿宋" w:hAnsi="仿宋" w:eastAsia="仿宋"/>
          <w:color w:val="000000"/>
          <w:sz w:val="32"/>
        </w:rPr>
        <w:t>为贯彻落实党的十九大关于</w:t>
      </w:r>
      <w:r>
        <w:rPr>
          <w:rFonts w:ascii="仿宋" w:hAnsi="仿宋" w:eastAsia="仿宋"/>
          <w:color w:val="000000"/>
          <w:sz w:val="32"/>
        </w:rPr>
        <w:t>“</w:t>
      </w:r>
      <w:r>
        <w:rPr>
          <w:rFonts w:hint="eastAsia" w:ascii="仿宋" w:hAnsi="仿宋" w:eastAsia="仿宋"/>
          <w:color w:val="000000"/>
          <w:sz w:val="32"/>
        </w:rPr>
        <w:t>全面实施绩效管理</w:t>
      </w:r>
      <w:r>
        <w:rPr>
          <w:rFonts w:ascii="仿宋" w:hAnsi="仿宋" w:eastAsia="仿宋"/>
          <w:color w:val="000000"/>
          <w:sz w:val="32"/>
        </w:rPr>
        <w:t>”</w:t>
      </w:r>
      <w:r>
        <w:rPr>
          <w:rFonts w:hint="eastAsia" w:ascii="仿宋" w:hAnsi="仿宋" w:eastAsia="仿宋"/>
          <w:color w:val="000000"/>
          <w:sz w:val="32"/>
        </w:rPr>
        <w:t>的战略部署，提高财政资源配置效率和使用效益，根据《中华人民共和国预算法》、</w:t>
      </w:r>
      <w:r>
        <w:rPr>
          <w:rFonts w:hint="eastAsia"/>
          <w:sz w:val="30"/>
          <w:szCs w:val="30"/>
        </w:rPr>
        <w:t>《</w:t>
      </w:r>
      <w:r>
        <w:rPr>
          <w:rFonts w:hint="eastAsia" w:ascii="仿宋" w:hAnsi="仿宋" w:eastAsia="仿宋"/>
          <w:color w:val="000000"/>
          <w:sz w:val="32"/>
        </w:rPr>
        <w:t>玉溪市市级财政预算绩效管理暂行办法》（玉财债[2016]16号）要求，</w:t>
      </w:r>
      <w:r>
        <w:rPr>
          <w:rFonts w:hint="eastAsia" w:ascii="Times New Roman" w:hAnsi="仿宋" w:eastAsia="仿宋" w:cs="Times New Roman"/>
          <w:sz w:val="32"/>
          <w:szCs w:val="32"/>
          <w:lang w:eastAsia="zh-CN"/>
        </w:rPr>
        <w:t>元江工业园区管理委会</w:t>
      </w:r>
      <w:r>
        <w:rPr>
          <w:rFonts w:hint="eastAsia" w:ascii="仿宋" w:hAnsi="仿宋" w:eastAsia="仿宋"/>
          <w:color w:val="000000"/>
          <w:sz w:val="32"/>
        </w:rPr>
        <w:t>在2017年度组织对2017年度一般公共预算项目支出开展了绩效自评，部门决算中反映了项目绩效自评结果情况。</w:t>
      </w:r>
    </w:p>
    <w:p>
      <w:pPr>
        <w:numPr>
          <w:ilvl w:val="0"/>
          <w:numId w:val="1"/>
        </w:numPr>
        <w:ind w:firstLine="600" w:firstLineChars="200"/>
        <w:rPr>
          <w:sz w:val="30"/>
          <w:szCs w:val="30"/>
        </w:rPr>
      </w:pPr>
      <w:r>
        <w:rPr>
          <w:rFonts w:hint="eastAsia"/>
          <w:sz w:val="30"/>
          <w:szCs w:val="30"/>
        </w:rPr>
        <w:t>绩效评价结果</w:t>
      </w:r>
    </w:p>
    <w:p>
      <w:pPr>
        <w:ind w:firstLine="640" w:firstLineChars="200"/>
        <w:rPr>
          <w:rFonts w:ascii="仿宋" w:hAnsi="仿宋" w:eastAsia="仿宋"/>
          <w:color w:val="000000"/>
          <w:sz w:val="32"/>
        </w:rPr>
      </w:pPr>
      <w:r>
        <w:rPr>
          <w:rFonts w:hint="eastAsia" w:ascii="仿宋" w:hAnsi="仿宋" w:eastAsia="仿宋"/>
          <w:color w:val="000000"/>
          <w:sz w:val="32"/>
        </w:rPr>
        <w:t>根据年初设定的绩效目标，项目自评得分为</w:t>
      </w:r>
      <w:r>
        <w:rPr>
          <w:rFonts w:hint="eastAsia" w:ascii="仿宋" w:hAnsi="仿宋" w:eastAsia="仿宋"/>
          <w:color w:val="000000"/>
          <w:sz w:val="32"/>
          <w:lang w:val="en-US" w:eastAsia="zh-CN"/>
        </w:rPr>
        <w:t>100</w:t>
      </w:r>
      <w:r>
        <w:rPr>
          <w:rFonts w:hint="eastAsia" w:ascii="仿宋" w:hAnsi="仿宋" w:eastAsia="仿宋"/>
          <w:color w:val="000000"/>
          <w:sz w:val="32"/>
        </w:rPr>
        <w:t>分。项目全年预算数为</w:t>
      </w:r>
      <w:r>
        <w:rPr>
          <w:rFonts w:hint="eastAsia" w:ascii="仿宋" w:hAnsi="仿宋" w:eastAsia="仿宋"/>
          <w:color w:val="000000"/>
          <w:sz w:val="32"/>
          <w:lang w:val="en-US" w:eastAsia="zh-CN"/>
        </w:rPr>
        <w:t>211</w:t>
      </w:r>
      <w:r>
        <w:rPr>
          <w:rFonts w:hint="eastAsia" w:ascii="仿宋" w:hAnsi="仿宋" w:eastAsia="仿宋"/>
          <w:color w:val="000000"/>
          <w:sz w:val="32"/>
        </w:rPr>
        <w:t>万元，执行数为</w:t>
      </w:r>
      <w:r>
        <w:rPr>
          <w:rFonts w:hint="eastAsia" w:ascii="仿宋" w:hAnsi="仿宋" w:eastAsia="仿宋"/>
          <w:color w:val="000000"/>
          <w:sz w:val="32"/>
          <w:lang w:val="en-US" w:eastAsia="zh-CN"/>
        </w:rPr>
        <w:t>602.23</w:t>
      </w:r>
      <w:r>
        <w:rPr>
          <w:rFonts w:hint="eastAsia" w:ascii="仿宋" w:hAnsi="仿宋" w:eastAsia="仿宋"/>
          <w:color w:val="000000"/>
          <w:sz w:val="32"/>
        </w:rPr>
        <w:t>万元，完成预算的</w:t>
      </w:r>
      <w:r>
        <w:rPr>
          <w:rFonts w:hint="eastAsia" w:ascii="仿宋" w:hAnsi="仿宋" w:eastAsia="仿宋"/>
          <w:color w:val="000000"/>
          <w:sz w:val="32"/>
          <w:lang w:val="en-US" w:eastAsia="zh-CN"/>
        </w:rPr>
        <w:t>285.42</w:t>
      </w:r>
      <w:r>
        <w:rPr>
          <w:rFonts w:hint="eastAsia" w:ascii="仿宋" w:hAnsi="仿宋" w:eastAsia="仿宋"/>
          <w:color w:val="000000"/>
          <w:sz w:val="32"/>
        </w:rPr>
        <w:t>%。主要产出和效果：通过项目实施，有效</w:t>
      </w:r>
      <w:r>
        <w:rPr>
          <w:rFonts w:hint="eastAsia" w:ascii="仿宋" w:hAnsi="仿宋" w:eastAsia="仿宋"/>
          <w:color w:val="000000"/>
          <w:sz w:val="32"/>
          <w:lang w:eastAsia="zh-CN"/>
        </w:rPr>
        <w:t>园区基础设施建设的推进，提升园区招商引资吸引力和承载力，更好的完成了市、县下达的各项责任目标</w:t>
      </w:r>
      <w:r>
        <w:rPr>
          <w:rFonts w:hint="eastAsia" w:ascii="仿宋" w:hAnsi="仿宋" w:eastAsia="仿宋"/>
          <w:color w:val="000000"/>
          <w:sz w:val="32"/>
        </w:rPr>
        <w:t>。</w:t>
      </w:r>
    </w:p>
    <w:p>
      <w:pPr>
        <w:ind w:firstLine="640" w:firstLineChars="200"/>
        <w:rPr>
          <w:rFonts w:ascii="仿宋" w:hAnsi="仿宋" w:eastAsia="仿宋"/>
          <w:color w:val="000000"/>
          <w:sz w:val="32"/>
        </w:rPr>
      </w:pPr>
      <w:r>
        <w:rPr>
          <w:rFonts w:hint="eastAsia" w:ascii="仿宋" w:hAnsi="仿宋" w:eastAsia="仿宋"/>
          <w:color w:val="000000"/>
          <w:sz w:val="32"/>
        </w:rPr>
        <w:t>发现的主要问题：预算执行率较低，绩效目标设定不合理</w:t>
      </w:r>
      <w:r>
        <w:rPr>
          <w:rFonts w:hint="eastAsia" w:ascii="仿宋" w:hAnsi="仿宋" w:eastAsia="仿宋"/>
          <w:color w:val="000000"/>
          <w:sz w:val="32"/>
          <w:lang w:eastAsia="zh-CN"/>
        </w:rPr>
        <w:t>，向上争取资金因受政策因素影响较大年初难以预算</w:t>
      </w:r>
      <w:r>
        <w:rPr>
          <w:rFonts w:hint="eastAsia" w:ascii="仿宋" w:hAnsi="仿宋" w:eastAsia="仿宋"/>
          <w:color w:val="000000"/>
          <w:sz w:val="32"/>
        </w:rPr>
        <w:t>。</w:t>
      </w:r>
    </w:p>
    <w:p>
      <w:pPr>
        <w:ind w:firstLine="640" w:firstLineChars="200"/>
        <w:rPr>
          <w:rFonts w:ascii="仿宋" w:hAnsi="仿宋" w:eastAsia="仿宋"/>
          <w:color w:val="000000"/>
          <w:sz w:val="32"/>
        </w:rPr>
      </w:pPr>
      <w:r>
        <w:rPr>
          <w:rFonts w:hint="eastAsia" w:ascii="仿宋" w:hAnsi="仿宋" w:eastAsia="仿宋"/>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Style w:val="5"/>
        <w:tblW w:w="20298" w:type="dxa"/>
        <w:tblInd w:w="0" w:type="dxa"/>
        <w:tblLayout w:type="fixed"/>
        <w:tblCellMar>
          <w:top w:w="15" w:type="dxa"/>
          <w:left w:w="15" w:type="dxa"/>
          <w:bottom w:w="15" w:type="dxa"/>
          <w:right w:w="15" w:type="dxa"/>
        </w:tblCellMar>
      </w:tblPr>
      <w:tblGrid>
        <w:gridCol w:w="1080"/>
        <w:gridCol w:w="1354"/>
        <w:gridCol w:w="1354"/>
        <w:gridCol w:w="790"/>
        <w:gridCol w:w="580"/>
        <w:gridCol w:w="2075"/>
        <w:gridCol w:w="955"/>
        <w:gridCol w:w="2430"/>
        <w:gridCol w:w="2420"/>
        <w:gridCol w:w="2420"/>
        <w:gridCol w:w="2420"/>
        <w:gridCol w:w="2420"/>
      </w:tblGrid>
      <w:tr>
        <w:tblPrEx>
          <w:tblLayout w:type="fixed"/>
          <w:tblCellMar>
            <w:top w:w="15" w:type="dxa"/>
            <w:left w:w="15" w:type="dxa"/>
            <w:bottom w:w="15" w:type="dxa"/>
            <w:right w:w="15" w:type="dxa"/>
          </w:tblCellMar>
        </w:tblPrEx>
        <w:trPr>
          <w:trHeight w:val="405" w:hRule="atLeast"/>
        </w:trPr>
        <w:tc>
          <w:tcPr>
            <w:tcW w:w="10618" w:type="dxa"/>
            <w:gridSpan w:val="8"/>
            <w:shd w:val="clear" w:color="auto" w:fill="auto"/>
            <w:vAlign w:val="center"/>
          </w:tcPr>
          <w:p>
            <w:pPr>
              <w:widowControl/>
              <w:textAlignment w:val="center"/>
              <w:rPr>
                <w:rFonts w:ascii="仿宋_GB2312" w:hAnsi="宋体" w:eastAsia="仿宋_GB2312" w:cs="仿宋_GB2312"/>
                <w:b/>
                <w:color w:val="000000"/>
                <w:kern w:val="0"/>
                <w:sz w:val="32"/>
                <w:szCs w:val="32"/>
              </w:rPr>
            </w:pPr>
          </w:p>
          <w:p>
            <w:pPr>
              <w:widowControl/>
              <w:ind w:firstLine="1285" w:firstLineChars="400"/>
              <w:textAlignment w:val="center"/>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县级部门项目支出绩效评价结果信息公开</w:t>
            </w: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r>
      <w:tr>
        <w:tblPrEx>
          <w:tblLayout w:type="fixed"/>
          <w:tblCellMar>
            <w:top w:w="15" w:type="dxa"/>
            <w:left w:w="15" w:type="dxa"/>
            <w:bottom w:w="15" w:type="dxa"/>
            <w:right w:w="15" w:type="dxa"/>
          </w:tblCellMar>
        </w:tblPrEx>
        <w:trPr>
          <w:trHeight w:val="286" w:hRule="atLeast"/>
        </w:trPr>
        <w:tc>
          <w:tcPr>
            <w:tcW w:w="1080"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70" w:type="dxa"/>
            <w:gridSpan w:val="2"/>
            <w:shd w:val="clear" w:color="auto" w:fill="auto"/>
            <w:vAlign w:val="center"/>
          </w:tcPr>
          <w:p>
            <w:pPr>
              <w:rPr>
                <w:rFonts w:ascii="宋体" w:hAnsi="宋体" w:eastAsia="宋体" w:cs="宋体"/>
                <w:color w:val="000000"/>
                <w:sz w:val="24"/>
                <w:szCs w:val="24"/>
              </w:rPr>
            </w:pPr>
          </w:p>
        </w:tc>
        <w:tc>
          <w:tcPr>
            <w:tcW w:w="3030" w:type="dxa"/>
            <w:gridSpan w:val="2"/>
            <w:shd w:val="clear" w:color="auto" w:fill="auto"/>
            <w:vAlign w:val="center"/>
          </w:tcPr>
          <w:p>
            <w:pPr>
              <w:rPr>
                <w:rFonts w:ascii="宋体" w:hAnsi="宋体" w:eastAsia="宋体" w:cs="宋体"/>
                <w:color w:val="000000"/>
                <w:sz w:val="24"/>
                <w:szCs w:val="24"/>
              </w:rPr>
            </w:pPr>
          </w:p>
        </w:tc>
        <w:tc>
          <w:tcPr>
            <w:tcW w:w="243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项目名称（全称）</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eastAsia="zh-CN"/>
              </w:rPr>
              <w:t>市级工业园区基础设施建设补助项目</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预算单位</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eastAsia="zh-CN"/>
              </w:rPr>
              <w:t>元江工业园区管理委员会</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预算主管部门</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eastAsia="zh-CN"/>
              </w:rPr>
              <w:t>元江哈尼族彝族傣族自治县财政局</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项目所属年度</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val="en-US" w:eastAsia="zh-CN"/>
              </w:rPr>
              <w:t>2017</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615"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项目预算安排（万元）</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val="en-US" w:eastAsia="zh-CN"/>
              </w:rPr>
              <w:t>161</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555"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项目实际支出（万元）</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val="en-US" w:eastAsia="zh-CN"/>
              </w:rPr>
              <w:t>13.81</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项目评价类型</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color w:val="000000"/>
                <w:sz w:val="24"/>
                <w:szCs w:val="24"/>
                <w:lang w:eastAsia="zh-CN"/>
              </w:rPr>
            </w:pPr>
            <w:r>
              <w:rPr>
                <w:rFonts w:hint="eastAsia" w:ascii="仿宋_GB2312" w:hAnsi="宋体" w:eastAsia="仿宋_GB2312" w:cs="仿宋_GB2312"/>
                <w:color w:val="000000"/>
                <w:sz w:val="24"/>
                <w:szCs w:val="24"/>
                <w:lang w:eastAsia="zh-CN"/>
              </w:rPr>
              <w:t>未评价</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r>
      <w:tr>
        <w:tblPrEx>
          <w:tblLayout w:type="fixed"/>
          <w:tblCellMar>
            <w:top w:w="15" w:type="dxa"/>
            <w:left w:w="15" w:type="dxa"/>
            <w:bottom w:w="15" w:type="dxa"/>
            <w:right w:w="15" w:type="dxa"/>
          </w:tblCellMar>
        </w:tblPrEx>
        <w:trPr>
          <w:trHeight w:val="512"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项目评价结果</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r>
      <w:tr>
        <w:tblPrEx>
          <w:tblLayout w:type="fixed"/>
          <w:tblCellMar>
            <w:top w:w="15" w:type="dxa"/>
            <w:left w:w="15" w:type="dxa"/>
            <w:bottom w:w="15" w:type="dxa"/>
            <w:right w:w="15" w:type="dxa"/>
          </w:tblCellMar>
        </w:tblPrEx>
        <w:trPr>
          <w:trHeight w:val="480" w:hRule="atLeast"/>
        </w:trPr>
        <w:tc>
          <w:tcPr>
            <w:tcW w:w="106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一、主要绩效目标完成情况</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评价指标</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预期绩效指标（内容和值）</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指标完成情况</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差异说明</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 w:eastAsia="仿宋_GB2312" w:cs="仿宋"/>
                <w:color w:val="000000"/>
                <w:sz w:val="24"/>
                <w:szCs w:val="24"/>
              </w:rPr>
            </w:pPr>
            <w:r>
              <w:rPr>
                <w:rFonts w:hint="eastAsia" w:ascii="仿宋_GB2312" w:hAnsi="仿宋" w:eastAsia="仿宋_GB2312" w:cs="仿宋"/>
                <w:color w:val="000000"/>
                <w:sz w:val="24"/>
                <w:szCs w:val="24"/>
              </w:rPr>
              <w:t>项目产出</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 w:eastAsia="仿宋_GB2312" w:cs="仿宋"/>
                <w:color w:val="000000"/>
                <w:sz w:val="24"/>
                <w:szCs w:val="24"/>
                <w:lang w:eastAsia="zh-CN"/>
              </w:rPr>
            </w:pPr>
            <w:r>
              <w:rPr>
                <w:rFonts w:ascii="仿宋_GB2312" w:hAnsi="仿宋" w:eastAsia="仿宋_GB2312" w:cs="仿宋"/>
                <w:color w:val="000000"/>
                <w:sz w:val="24"/>
                <w:szCs w:val="24"/>
              </w:rPr>
              <w:t>规模以上工业增加值</w:t>
            </w:r>
            <w:r>
              <w:rPr>
                <w:rFonts w:hint="eastAsia" w:ascii="仿宋_GB2312" w:hAnsi="仿宋" w:eastAsia="仿宋_GB2312" w:cs="仿宋"/>
                <w:color w:val="000000"/>
                <w:sz w:val="24"/>
                <w:szCs w:val="24"/>
              </w:rPr>
              <w:t>5.</w:t>
            </w:r>
            <w:r>
              <w:rPr>
                <w:rFonts w:hint="eastAsia" w:ascii="仿宋_GB2312" w:hAnsi="仿宋" w:eastAsia="仿宋_GB2312" w:cs="仿宋"/>
                <w:color w:val="000000"/>
                <w:sz w:val="24"/>
                <w:szCs w:val="24"/>
                <w:lang w:val="en-US" w:eastAsia="zh-CN"/>
              </w:rPr>
              <w:t>48</w:t>
            </w:r>
            <w:r>
              <w:rPr>
                <w:rFonts w:ascii="仿宋_GB2312" w:hAnsi="仿宋" w:eastAsia="仿宋_GB2312" w:cs="仿宋"/>
                <w:color w:val="000000"/>
                <w:sz w:val="24"/>
                <w:szCs w:val="24"/>
              </w:rPr>
              <w:t>元</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5.6亿元</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 w:eastAsia="仿宋_GB2312" w:cs="仿宋"/>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 w:eastAsia="仿宋_GB2312" w:cs="仿宋"/>
                <w:color w:val="000000"/>
                <w:sz w:val="24"/>
                <w:szCs w:val="24"/>
              </w:rPr>
            </w:pPr>
            <w:r>
              <w:rPr>
                <w:rFonts w:ascii="仿宋_GB2312" w:hAnsi="仿宋" w:eastAsia="仿宋_GB2312" w:cs="仿宋"/>
                <w:color w:val="000000"/>
                <w:sz w:val="24"/>
                <w:szCs w:val="24"/>
              </w:rPr>
              <w:t>实现主营业务收入</w:t>
            </w:r>
            <w:r>
              <w:rPr>
                <w:rFonts w:hint="eastAsia" w:ascii="仿宋_GB2312" w:hAnsi="仿宋" w:eastAsia="仿宋_GB2312" w:cs="仿宋"/>
                <w:color w:val="000000"/>
                <w:sz w:val="24"/>
                <w:szCs w:val="24"/>
              </w:rPr>
              <w:t>25</w:t>
            </w:r>
            <w:r>
              <w:rPr>
                <w:rFonts w:ascii="仿宋_GB2312" w:hAnsi="仿宋" w:eastAsia="仿宋_GB2312" w:cs="仿宋"/>
                <w:color w:val="000000"/>
                <w:sz w:val="24"/>
                <w:szCs w:val="24"/>
              </w:rPr>
              <w:t>亿元</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25亿元</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r>
              <w:rPr>
                <w:rFonts w:ascii="仿宋_GB2312" w:hAnsi="仿宋" w:eastAsia="仿宋_GB2312" w:cs="仿宋"/>
                <w:color w:val="000000"/>
                <w:sz w:val="24"/>
                <w:szCs w:val="24"/>
              </w:rPr>
              <w:t>工业总产值</w:t>
            </w:r>
            <w:r>
              <w:rPr>
                <w:rFonts w:hint="eastAsia" w:ascii="仿宋_GB2312" w:hAnsi="仿宋" w:eastAsia="仿宋_GB2312" w:cs="仿宋"/>
                <w:color w:val="000000"/>
                <w:sz w:val="24"/>
                <w:szCs w:val="24"/>
              </w:rPr>
              <w:t>24</w:t>
            </w:r>
            <w:r>
              <w:rPr>
                <w:rFonts w:ascii="仿宋_GB2312" w:hAnsi="仿宋" w:eastAsia="仿宋_GB2312" w:cs="仿宋"/>
                <w:color w:val="000000"/>
                <w:sz w:val="24"/>
                <w:szCs w:val="24"/>
              </w:rPr>
              <w:t>亿元</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24亿元</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项目效益</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 w:eastAsia="仿宋_GB2312" w:cs="仿宋"/>
                <w:color w:val="000000"/>
                <w:sz w:val="24"/>
                <w:szCs w:val="24"/>
              </w:rPr>
            </w:pPr>
            <w:r>
              <w:rPr>
                <w:rFonts w:ascii="仿宋_GB2312" w:hAnsi="仿宋" w:eastAsia="仿宋_GB2312" w:cs="仿宋"/>
                <w:color w:val="000000"/>
                <w:sz w:val="24"/>
                <w:szCs w:val="24"/>
              </w:rPr>
              <w:t>招商引资资金</w:t>
            </w:r>
            <w:r>
              <w:rPr>
                <w:rFonts w:hint="eastAsia" w:ascii="仿宋_GB2312" w:hAnsi="仿宋" w:eastAsia="仿宋_GB2312" w:cs="仿宋"/>
                <w:color w:val="000000"/>
                <w:sz w:val="24"/>
                <w:szCs w:val="24"/>
                <w:lang w:val="en-US" w:eastAsia="zh-CN"/>
              </w:rPr>
              <w:t>8.96</w:t>
            </w:r>
            <w:r>
              <w:rPr>
                <w:rFonts w:ascii="仿宋_GB2312" w:hAnsi="仿宋" w:eastAsia="仿宋_GB2312" w:cs="仿宋"/>
                <w:color w:val="000000"/>
                <w:sz w:val="24"/>
                <w:szCs w:val="24"/>
              </w:rPr>
              <w:t>亿元</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9亿元</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仿宋" w:eastAsia="仿宋_GB2312" w:cs="仿宋"/>
                <w:color w:val="000000"/>
                <w:sz w:val="24"/>
                <w:szCs w:val="24"/>
              </w:rPr>
            </w:pPr>
            <w:r>
              <w:rPr>
                <w:rFonts w:ascii="仿宋_GB2312" w:hAnsi="仿宋" w:eastAsia="仿宋_GB2312" w:cs="仿宋"/>
                <w:color w:val="000000"/>
                <w:sz w:val="24"/>
                <w:szCs w:val="24"/>
              </w:rPr>
              <w:t>固定资产投资</w:t>
            </w:r>
            <w:r>
              <w:rPr>
                <w:rFonts w:hint="eastAsia" w:ascii="仿宋_GB2312" w:hAnsi="仿宋" w:eastAsia="仿宋_GB2312" w:cs="仿宋"/>
                <w:color w:val="000000"/>
                <w:sz w:val="24"/>
                <w:szCs w:val="24"/>
                <w:lang w:val="en-US" w:eastAsia="zh-CN"/>
              </w:rPr>
              <w:t>8.95</w:t>
            </w:r>
            <w:r>
              <w:rPr>
                <w:rFonts w:ascii="仿宋_GB2312" w:hAnsi="仿宋" w:eastAsia="仿宋_GB2312" w:cs="仿宋"/>
                <w:color w:val="000000"/>
                <w:sz w:val="24"/>
                <w:szCs w:val="24"/>
              </w:rPr>
              <w:t>亿元</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9亿元</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6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二、评价综合意见</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659"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主要绩效情况</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olor w:val="000000"/>
                <w:sz w:val="24"/>
                <w:szCs w:val="24"/>
              </w:rPr>
            </w:pPr>
            <w:r>
              <w:rPr>
                <w:rFonts w:hint="eastAsia" w:ascii="仿宋" w:hAnsi="仿宋" w:eastAsia="仿宋"/>
                <w:color w:val="000000"/>
                <w:sz w:val="24"/>
                <w:szCs w:val="24"/>
              </w:rPr>
              <w:t>实现主营业务收入25亿元，同比增长13%；工业总产值24亿元，同比增长13%；规模以上工业增加值5.6元，同比增长28%，完成市下达目标5.48亿元的102%；招商引资资金9亿元，同比增长15%，完成市下达目标8.96亿元的100%；固定资产投资9亿元，同比增长15%，完成市下达目标8.95亿元的100%，投资1000万元以上新开工工业投资项目8个，完成市下达目标7个的114%；投资1000万元以上新竣工工业投资项目5个，完成市下达目标5个的100%。标准厂房竣工面积3.49万平方米，完成市下达目标3万平方米的116%。</w:t>
            </w:r>
          </w:p>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683"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主要问题与建议</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 w:hAnsi="仿宋" w:eastAsia="仿宋"/>
                <w:color w:val="000000"/>
                <w:sz w:val="24"/>
                <w:szCs w:val="24"/>
              </w:rPr>
            </w:pPr>
            <w:r>
              <w:rPr>
                <w:rFonts w:hint="eastAsia" w:ascii="仿宋" w:hAnsi="仿宋" w:eastAsia="仿宋"/>
                <w:color w:val="000000"/>
                <w:sz w:val="24"/>
                <w:szCs w:val="24"/>
              </w:rPr>
              <w:t>在设定量化细化的绩效目标时，更加科学合理的设置绩效指标年度指标值，</w:t>
            </w:r>
          </w:p>
          <w:p>
            <w:pPr>
              <w:rPr>
                <w:rFonts w:ascii="仿宋" w:hAnsi="仿宋" w:eastAsia="仿宋"/>
                <w:color w:val="000000"/>
                <w:sz w:val="24"/>
                <w:szCs w:val="24"/>
              </w:rPr>
            </w:pPr>
            <w:r>
              <w:rPr>
                <w:rFonts w:hint="eastAsia" w:ascii="仿宋" w:hAnsi="仿宋" w:eastAsia="仿宋"/>
                <w:color w:val="000000"/>
                <w:sz w:val="24"/>
                <w:szCs w:val="24"/>
              </w:rPr>
              <w:t>项目预算执行及时、有效，绩效目标得到较好实现，绩效管理水平不断提高，</w:t>
            </w:r>
          </w:p>
          <w:p>
            <w:pPr>
              <w:rPr>
                <w:rFonts w:ascii="仿宋_GB2312" w:hAnsi="宋体" w:eastAsia="仿宋_GB2312" w:cs="仿宋_GB2312"/>
                <w:color w:val="000000"/>
                <w:sz w:val="20"/>
                <w:szCs w:val="20"/>
              </w:rPr>
            </w:pPr>
            <w:r>
              <w:rPr>
                <w:rFonts w:hint="eastAsia" w:ascii="仿宋" w:hAnsi="仿宋" w:eastAsia="仿宋"/>
                <w:color w:val="000000"/>
                <w:sz w:val="24"/>
                <w:szCs w:val="24"/>
              </w:rPr>
              <w:t>绩效指标体系建设逐渐丰富和完善，真正发挥绩效管理的作用</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286" w:hRule="atLeast"/>
        </w:trPr>
        <w:tc>
          <w:tcPr>
            <w:tcW w:w="1080"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70" w:type="dxa"/>
            <w:gridSpan w:val="2"/>
            <w:shd w:val="clear" w:color="auto" w:fill="auto"/>
            <w:vAlign w:val="center"/>
          </w:tcPr>
          <w:p>
            <w:pPr>
              <w:rPr>
                <w:rFonts w:ascii="宋体" w:hAnsi="宋体" w:eastAsia="宋体" w:cs="宋体"/>
                <w:color w:val="000000"/>
                <w:sz w:val="24"/>
                <w:szCs w:val="24"/>
              </w:rPr>
            </w:pPr>
          </w:p>
        </w:tc>
        <w:tc>
          <w:tcPr>
            <w:tcW w:w="3030" w:type="dxa"/>
            <w:gridSpan w:val="2"/>
            <w:shd w:val="clear" w:color="auto" w:fill="auto"/>
            <w:vAlign w:val="center"/>
          </w:tcPr>
          <w:p>
            <w:pPr>
              <w:rPr>
                <w:rFonts w:ascii="宋体" w:hAnsi="宋体" w:eastAsia="宋体" w:cs="宋体"/>
                <w:color w:val="000000"/>
                <w:sz w:val="24"/>
                <w:szCs w:val="24"/>
              </w:rPr>
            </w:pPr>
          </w:p>
        </w:tc>
        <w:tc>
          <w:tcPr>
            <w:tcW w:w="243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r>
      <w:tr>
        <w:tblPrEx>
          <w:tblLayout w:type="fixed"/>
          <w:tblCellMar>
            <w:top w:w="15" w:type="dxa"/>
            <w:left w:w="15" w:type="dxa"/>
            <w:bottom w:w="15" w:type="dxa"/>
            <w:right w:w="15" w:type="dxa"/>
          </w:tblCellMar>
        </w:tblPrEx>
        <w:trPr>
          <w:trHeight w:val="735" w:hRule="atLeast"/>
        </w:trPr>
        <w:tc>
          <w:tcPr>
            <w:tcW w:w="10618" w:type="dxa"/>
            <w:gridSpan w:val="8"/>
            <w:tcBorders>
              <w:bottom w:val="single" w:color="auto" w:sz="4" w:space="0"/>
            </w:tcBorders>
            <w:shd w:val="clear" w:color="auto" w:fill="auto"/>
            <w:vAlign w:val="center"/>
          </w:tcPr>
          <w:p>
            <w:pPr>
              <w:widowControl/>
              <w:textAlignment w:val="center"/>
              <w:rPr>
                <w:rFonts w:ascii="仿宋_GB2312" w:hAnsi="宋体" w:eastAsia="仿宋_GB2312" w:cs="仿宋_GB2312"/>
                <w:b/>
                <w:color w:val="000000"/>
                <w:kern w:val="0"/>
                <w:sz w:val="32"/>
                <w:szCs w:val="32"/>
              </w:rPr>
            </w:pPr>
          </w:p>
          <w:p>
            <w:pPr>
              <w:widowControl/>
              <w:ind w:firstLine="1285" w:firstLineChars="400"/>
              <w:textAlignment w:val="center"/>
              <w:rPr>
                <w:rFonts w:ascii="宋体" w:hAnsi="宋体" w:eastAsia="宋体" w:cs="宋体"/>
                <w:color w:val="000000"/>
                <w:sz w:val="24"/>
                <w:szCs w:val="24"/>
              </w:rPr>
            </w:pPr>
            <w:r>
              <w:rPr>
                <w:rFonts w:hint="eastAsia" w:ascii="仿宋_GB2312" w:hAnsi="宋体" w:eastAsia="仿宋_GB2312" w:cs="仿宋_GB2312"/>
                <w:b/>
                <w:color w:val="000000"/>
                <w:kern w:val="0"/>
                <w:sz w:val="32"/>
                <w:szCs w:val="32"/>
              </w:rPr>
              <w:t>县级部门项目支出绩效评价结果信息公开</w:t>
            </w:r>
          </w:p>
        </w:tc>
        <w:tc>
          <w:tcPr>
            <w:tcW w:w="2420" w:type="dxa"/>
            <w:tcBorders>
              <w:bottom w:val="single" w:color="auto"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bottom w:val="single" w:color="auto"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bottom w:val="single" w:color="auto"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bottom w:val="single" w:color="auto" w:sz="4" w:space="0"/>
            </w:tcBorders>
            <w:shd w:val="clear" w:color="auto" w:fill="auto"/>
            <w:vAlign w:val="center"/>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项目名称（全称）</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仿宋_GB2312" w:hAnsi="宋体" w:eastAsia="仿宋_GB2312" w:cs="仿宋_GB2312"/>
                <w:color w:val="000000"/>
                <w:kern w:val="0"/>
                <w:sz w:val="24"/>
                <w:szCs w:val="24"/>
                <w:lang w:eastAsia="zh-CN"/>
              </w:rPr>
              <w:t>工业园区基础设施建设项目</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预算单位</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widowControl/>
              <w:jc w:val="left"/>
              <w:textAlignment w:val="center"/>
            </w:pPr>
            <w:r>
              <w:rPr>
                <w:rFonts w:hint="eastAsia" w:ascii="仿宋_GB2312" w:hAnsi="宋体" w:eastAsia="仿宋_GB2312" w:cs="仿宋_GB2312"/>
                <w:color w:val="000000"/>
                <w:kern w:val="0"/>
                <w:sz w:val="24"/>
                <w:szCs w:val="24"/>
                <w:lang w:eastAsia="zh-CN"/>
              </w:rPr>
              <w:t>元江工业园区管理委员会</w:t>
            </w:r>
            <w:r>
              <w:rPr>
                <w:rFonts w:hint="eastAsia" w:ascii="仿宋_GB2312" w:hAnsi="宋体" w:eastAsia="仿宋_GB2312" w:cs="仿宋_GB2312"/>
                <w:color w:val="000000"/>
                <w:kern w:val="0"/>
                <w:sz w:val="24"/>
                <w:szCs w:val="24"/>
              </w:rPr>
              <w:t xml:space="preserve"> </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预算主管部门</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仿宋_GB2312" w:hAnsi="宋体" w:eastAsia="仿宋_GB2312" w:cs="仿宋_GB2312"/>
                <w:color w:val="000000"/>
                <w:kern w:val="0"/>
                <w:sz w:val="24"/>
                <w:szCs w:val="24"/>
                <w:lang w:eastAsia="zh-CN"/>
              </w:rPr>
              <w:t>元江哈尼族彝族傣族自治县财政局</w:t>
            </w:r>
            <w:r>
              <w:rPr>
                <w:rFonts w:hint="eastAsia" w:ascii="仿宋_GB2312" w:hAnsi="宋体" w:eastAsia="仿宋_GB2312" w:cs="仿宋_GB2312"/>
                <w:color w:val="000000"/>
                <w:kern w:val="0"/>
                <w:sz w:val="24"/>
                <w:szCs w:val="24"/>
              </w:rPr>
              <w:t xml:space="preserve">  </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项目所属年度</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仿宋_GB2312" w:hAnsi="宋体" w:eastAsia="仿宋_GB2312" w:cs="仿宋_GB2312"/>
                <w:color w:val="000000"/>
                <w:kern w:val="0"/>
                <w:sz w:val="24"/>
                <w:szCs w:val="24"/>
                <w:lang w:val="en-US" w:eastAsia="zh-CN"/>
              </w:rPr>
              <w:t>2017</w:t>
            </w:r>
            <w:r>
              <w:rPr>
                <w:rFonts w:hint="eastAsia" w:ascii="仿宋_GB2312" w:hAnsi="宋体" w:eastAsia="仿宋_GB2312" w:cs="仿宋_GB2312"/>
                <w:color w:val="000000"/>
                <w:kern w:val="0"/>
                <w:sz w:val="24"/>
                <w:szCs w:val="24"/>
              </w:rPr>
              <w:t xml:space="preserve"> </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项目预算安排（万元）</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项目实际支出（万元）</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lang w:val="en-US"/>
              </w:rPr>
            </w:pPr>
            <w:r>
              <w:rPr>
                <w:rFonts w:hint="eastAsia" w:ascii="仿宋_GB2312" w:hAnsi="宋体" w:eastAsia="仿宋_GB2312" w:cs="仿宋_GB2312"/>
                <w:color w:val="000000"/>
                <w:kern w:val="0"/>
                <w:sz w:val="24"/>
                <w:szCs w:val="24"/>
                <w:lang w:val="en-US" w:eastAsia="zh-CN"/>
              </w:rPr>
              <w:t>300</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项目评价类型</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jc w:val="center"/>
            </w:pPr>
            <w:r>
              <w:rPr>
                <w:rFonts w:hint="eastAsia" w:ascii="仿宋_GB2312" w:hAnsi="宋体" w:eastAsia="仿宋_GB2312" w:cs="仿宋_GB2312"/>
                <w:color w:val="000000"/>
                <w:sz w:val="24"/>
                <w:szCs w:val="24"/>
                <w:lang w:eastAsia="zh-CN"/>
              </w:rPr>
              <w:t>未评价</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项目评价结果</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jc w:val="cente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618" w:type="dxa"/>
            <w:gridSpan w:val="8"/>
            <w:tcBorders>
              <w:top w:val="single" w:color="auto" w:sz="4" w:space="0"/>
              <w:left w:val="single" w:color="auto" w:sz="4" w:space="0"/>
              <w:bottom w:val="single" w:color="auto" w:sz="4" w:space="0"/>
              <w:right w:val="single" w:color="auto" w:sz="4" w:space="0"/>
            </w:tcBorders>
            <w:vAlign w:val="center"/>
          </w:tcPr>
          <w:p>
            <w:pPr>
              <w:widowControl/>
              <w:textAlignment w:val="center"/>
            </w:pPr>
            <w:r>
              <w:rPr>
                <w:rFonts w:hint="eastAsia" w:ascii="宋体" w:hAnsi="宋体" w:eastAsia="宋体" w:cs="宋体"/>
                <w:color w:val="000000"/>
                <w:kern w:val="0"/>
                <w:sz w:val="24"/>
                <w:szCs w:val="24"/>
              </w:rPr>
              <w:t>一、主要绩效目标完成情况</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评价指标</w:t>
            </w:r>
          </w:p>
        </w:tc>
        <w:tc>
          <w:tcPr>
            <w:tcW w:w="3498" w:type="dxa"/>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预期绩效指标（内容和值）</w:t>
            </w:r>
          </w:p>
        </w:tc>
        <w:tc>
          <w:tcPr>
            <w:tcW w:w="265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指标完成情况</w:t>
            </w:r>
          </w:p>
        </w:tc>
        <w:tc>
          <w:tcPr>
            <w:tcW w:w="338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差异说明</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r>
              <w:rPr>
                <w:rFonts w:hint="eastAsia" w:ascii="仿宋_GB2312" w:hAnsi="仿宋" w:eastAsia="仿宋_GB2312" w:cs="仿宋"/>
                <w:color w:val="000000"/>
                <w:sz w:val="24"/>
                <w:szCs w:val="24"/>
              </w:rPr>
              <w:t>项目产出</w:t>
            </w:r>
          </w:p>
        </w:tc>
        <w:tc>
          <w:tcPr>
            <w:tcW w:w="3498" w:type="dxa"/>
            <w:gridSpan w:val="3"/>
            <w:tcBorders>
              <w:top w:val="single" w:color="auto" w:sz="4" w:space="0"/>
              <w:left w:val="single" w:color="auto" w:sz="4" w:space="0"/>
              <w:bottom w:val="single" w:color="auto" w:sz="4" w:space="0"/>
              <w:right w:val="single" w:color="auto" w:sz="4" w:space="0"/>
            </w:tcBorders>
            <w:vAlign w:val="center"/>
          </w:tcPr>
          <w:p>
            <w:r>
              <w:rPr>
                <w:rFonts w:ascii="仿宋_GB2312" w:hAnsi="仿宋" w:eastAsia="仿宋_GB2312" w:cs="仿宋"/>
                <w:color w:val="000000"/>
                <w:sz w:val="24"/>
                <w:szCs w:val="24"/>
              </w:rPr>
              <w:t>规模以上工业增加值</w:t>
            </w:r>
            <w:r>
              <w:rPr>
                <w:rFonts w:hint="eastAsia" w:ascii="仿宋_GB2312" w:hAnsi="仿宋" w:eastAsia="仿宋_GB2312" w:cs="仿宋"/>
                <w:color w:val="000000"/>
                <w:sz w:val="24"/>
                <w:szCs w:val="24"/>
              </w:rPr>
              <w:t>5.</w:t>
            </w:r>
            <w:r>
              <w:rPr>
                <w:rFonts w:hint="eastAsia" w:ascii="仿宋_GB2312" w:hAnsi="仿宋" w:eastAsia="仿宋_GB2312" w:cs="仿宋"/>
                <w:color w:val="000000"/>
                <w:sz w:val="24"/>
                <w:szCs w:val="24"/>
                <w:lang w:val="en-US" w:eastAsia="zh-CN"/>
              </w:rPr>
              <w:t>48</w:t>
            </w:r>
            <w:r>
              <w:rPr>
                <w:rFonts w:ascii="仿宋_GB2312" w:hAnsi="仿宋" w:eastAsia="仿宋_GB2312" w:cs="仿宋"/>
                <w:color w:val="000000"/>
                <w:sz w:val="24"/>
                <w:szCs w:val="24"/>
              </w:rPr>
              <w:t>元</w:t>
            </w:r>
          </w:p>
        </w:tc>
        <w:tc>
          <w:tcPr>
            <w:tcW w:w="265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5.6亿元</w:t>
            </w:r>
          </w:p>
        </w:tc>
        <w:tc>
          <w:tcPr>
            <w:tcW w:w="3385" w:type="dxa"/>
            <w:gridSpan w:val="2"/>
            <w:tcBorders>
              <w:top w:val="single" w:color="auto" w:sz="4" w:space="0"/>
              <w:left w:val="single" w:color="auto" w:sz="4" w:space="0"/>
              <w:bottom w:val="single" w:color="auto" w:sz="4" w:space="0"/>
              <w:right w:val="single" w:color="auto" w:sz="4" w:space="0"/>
            </w:tcBorders>
            <w:vAlign w:val="center"/>
          </w:tc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tc>
        <w:tc>
          <w:tcPr>
            <w:tcW w:w="3498" w:type="dxa"/>
            <w:gridSpan w:val="3"/>
            <w:tcBorders>
              <w:top w:val="single" w:color="auto" w:sz="4" w:space="0"/>
              <w:left w:val="single" w:color="auto" w:sz="4" w:space="0"/>
              <w:bottom w:val="single" w:color="auto" w:sz="4" w:space="0"/>
              <w:right w:val="single" w:color="auto" w:sz="4" w:space="0"/>
            </w:tcBorders>
            <w:vAlign w:val="center"/>
          </w:tcPr>
          <w:p>
            <w:r>
              <w:rPr>
                <w:rFonts w:ascii="仿宋_GB2312" w:hAnsi="仿宋" w:eastAsia="仿宋_GB2312" w:cs="仿宋"/>
                <w:color w:val="000000"/>
                <w:sz w:val="24"/>
                <w:szCs w:val="24"/>
              </w:rPr>
              <w:t>实现主营业务收入</w:t>
            </w:r>
            <w:r>
              <w:rPr>
                <w:rFonts w:hint="eastAsia" w:ascii="仿宋_GB2312" w:hAnsi="仿宋" w:eastAsia="仿宋_GB2312" w:cs="仿宋"/>
                <w:color w:val="000000"/>
                <w:sz w:val="24"/>
                <w:szCs w:val="24"/>
              </w:rPr>
              <w:t>25</w:t>
            </w:r>
            <w:r>
              <w:rPr>
                <w:rFonts w:ascii="仿宋_GB2312" w:hAnsi="仿宋" w:eastAsia="仿宋_GB2312" w:cs="仿宋"/>
                <w:color w:val="000000"/>
                <w:sz w:val="24"/>
                <w:szCs w:val="24"/>
              </w:rPr>
              <w:t>亿元</w:t>
            </w:r>
          </w:p>
        </w:tc>
        <w:tc>
          <w:tcPr>
            <w:tcW w:w="265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25亿元</w:t>
            </w:r>
          </w:p>
        </w:tc>
        <w:tc>
          <w:tcPr>
            <w:tcW w:w="3385" w:type="dxa"/>
            <w:gridSpan w:val="2"/>
            <w:tcBorders>
              <w:top w:val="single" w:color="auto" w:sz="4" w:space="0"/>
              <w:left w:val="single" w:color="auto" w:sz="4" w:space="0"/>
              <w:bottom w:val="single" w:color="auto" w:sz="4" w:space="0"/>
              <w:right w:val="single" w:color="auto" w:sz="4" w:space="0"/>
            </w:tcBorders>
            <w:vAlign w:val="center"/>
          </w:tc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3498" w:type="dxa"/>
            <w:gridSpan w:val="3"/>
            <w:tcBorders>
              <w:top w:val="single" w:color="auto" w:sz="4" w:space="0"/>
              <w:left w:val="single" w:color="auto" w:sz="4" w:space="0"/>
              <w:bottom w:val="single" w:color="auto" w:sz="4" w:space="0"/>
              <w:right w:val="single" w:color="auto" w:sz="4" w:space="0"/>
            </w:tcBorders>
            <w:vAlign w:val="center"/>
          </w:tcPr>
          <w:p>
            <w:r>
              <w:rPr>
                <w:rFonts w:ascii="仿宋_GB2312" w:hAnsi="仿宋" w:eastAsia="仿宋_GB2312" w:cs="仿宋"/>
                <w:color w:val="000000"/>
                <w:sz w:val="24"/>
                <w:szCs w:val="24"/>
              </w:rPr>
              <w:t>工业总产值</w:t>
            </w:r>
            <w:r>
              <w:rPr>
                <w:rFonts w:hint="eastAsia" w:ascii="仿宋_GB2312" w:hAnsi="仿宋" w:eastAsia="仿宋_GB2312" w:cs="仿宋"/>
                <w:color w:val="000000"/>
                <w:sz w:val="24"/>
                <w:szCs w:val="24"/>
              </w:rPr>
              <w:t>24</w:t>
            </w:r>
            <w:r>
              <w:rPr>
                <w:rFonts w:ascii="仿宋_GB2312" w:hAnsi="仿宋" w:eastAsia="仿宋_GB2312" w:cs="仿宋"/>
                <w:color w:val="000000"/>
                <w:sz w:val="24"/>
                <w:szCs w:val="24"/>
              </w:rPr>
              <w:t>亿元</w:t>
            </w:r>
          </w:p>
        </w:tc>
        <w:tc>
          <w:tcPr>
            <w:tcW w:w="265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24亿元</w:t>
            </w:r>
          </w:p>
        </w:tc>
        <w:tc>
          <w:tcPr>
            <w:tcW w:w="3385" w:type="dxa"/>
            <w:gridSpan w:val="2"/>
            <w:tcBorders>
              <w:top w:val="single" w:color="auto" w:sz="4" w:space="0"/>
              <w:left w:val="single" w:color="auto" w:sz="4" w:space="0"/>
              <w:bottom w:val="single" w:color="auto" w:sz="4" w:space="0"/>
              <w:right w:val="single" w:color="auto" w:sz="4" w:space="0"/>
            </w:tcBorders>
            <w:vAlign w:val="center"/>
          </w:tc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项目效益</w:t>
            </w:r>
          </w:p>
        </w:tc>
        <w:tc>
          <w:tcPr>
            <w:tcW w:w="3498" w:type="dxa"/>
            <w:gridSpan w:val="3"/>
            <w:tcBorders>
              <w:top w:val="single" w:color="auto" w:sz="4" w:space="0"/>
              <w:left w:val="single" w:color="auto" w:sz="4" w:space="0"/>
              <w:bottom w:val="single" w:color="auto" w:sz="4" w:space="0"/>
              <w:right w:val="single" w:color="auto" w:sz="4" w:space="0"/>
            </w:tcBorders>
            <w:vAlign w:val="center"/>
          </w:tcPr>
          <w:p>
            <w:r>
              <w:rPr>
                <w:rFonts w:ascii="仿宋_GB2312" w:hAnsi="仿宋" w:eastAsia="仿宋_GB2312" w:cs="仿宋"/>
                <w:color w:val="000000"/>
                <w:sz w:val="24"/>
                <w:szCs w:val="24"/>
              </w:rPr>
              <w:t>招商引资资金</w:t>
            </w:r>
            <w:r>
              <w:rPr>
                <w:rFonts w:hint="eastAsia" w:ascii="仿宋_GB2312" w:hAnsi="仿宋" w:eastAsia="仿宋_GB2312" w:cs="仿宋"/>
                <w:color w:val="000000"/>
                <w:sz w:val="24"/>
                <w:szCs w:val="24"/>
                <w:lang w:val="en-US" w:eastAsia="zh-CN"/>
              </w:rPr>
              <w:t>8.96</w:t>
            </w:r>
            <w:r>
              <w:rPr>
                <w:rFonts w:ascii="仿宋_GB2312" w:hAnsi="仿宋" w:eastAsia="仿宋_GB2312" w:cs="仿宋"/>
                <w:color w:val="000000"/>
                <w:sz w:val="24"/>
                <w:szCs w:val="24"/>
              </w:rPr>
              <w:t>亿元</w:t>
            </w:r>
          </w:p>
        </w:tc>
        <w:tc>
          <w:tcPr>
            <w:tcW w:w="265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9亿元</w:t>
            </w:r>
          </w:p>
        </w:tc>
        <w:tc>
          <w:tcPr>
            <w:tcW w:w="3385" w:type="dxa"/>
            <w:gridSpan w:val="2"/>
            <w:tcBorders>
              <w:top w:val="single" w:color="auto" w:sz="4" w:space="0"/>
              <w:left w:val="single" w:color="auto" w:sz="4" w:space="0"/>
              <w:bottom w:val="single" w:color="auto" w:sz="4" w:space="0"/>
              <w:right w:val="single" w:color="auto" w:sz="4" w:space="0"/>
            </w:tcBorders>
            <w:vAlign w:val="center"/>
          </w:tc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3498" w:type="dxa"/>
            <w:gridSpan w:val="3"/>
            <w:tcBorders>
              <w:top w:val="single" w:color="auto" w:sz="4" w:space="0"/>
              <w:left w:val="single" w:color="auto" w:sz="4" w:space="0"/>
              <w:bottom w:val="single" w:color="auto" w:sz="4" w:space="0"/>
              <w:right w:val="single" w:color="auto" w:sz="4" w:space="0"/>
            </w:tcBorders>
            <w:vAlign w:val="center"/>
          </w:tcPr>
          <w:p>
            <w:r>
              <w:rPr>
                <w:rFonts w:ascii="仿宋_GB2312" w:hAnsi="仿宋" w:eastAsia="仿宋_GB2312" w:cs="仿宋"/>
                <w:color w:val="000000"/>
                <w:sz w:val="24"/>
                <w:szCs w:val="24"/>
              </w:rPr>
              <w:t>固定资产投资</w:t>
            </w:r>
            <w:r>
              <w:rPr>
                <w:rFonts w:hint="eastAsia" w:ascii="仿宋_GB2312" w:hAnsi="仿宋" w:eastAsia="仿宋_GB2312" w:cs="仿宋"/>
                <w:color w:val="000000"/>
                <w:sz w:val="24"/>
                <w:szCs w:val="24"/>
                <w:lang w:val="en-US" w:eastAsia="zh-CN"/>
              </w:rPr>
              <w:t>8.95</w:t>
            </w:r>
            <w:r>
              <w:rPr>
                <w:rFonts w:ascii="仿宋_GB2312" w:hAnsi="仿宋" w:eastAsia="仿宋_GB2312" w:cs="仿宋"/>
                <w:color w:val="000000"/>
                <w:sz w:val="24"/>
                <w:szCs w:val="24"/>
              </w:rPr>
              <w:t>亿元</w:t>
            </w:r>
          </w:p>
        </w:tc>
        <w:tc>
          <w:tcPr>
            <w:tcW w:w="265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完成</w:t>
            </w:r>
            <w:r>
              <w:rPr>
                <w:rFonts w:hint="eastAsia" w:ascii="仿宋_GB2312" w:hAnsi="宋体" w:eastAsia="仿宋_GB2312" w:cs="仿宋_GB2312"/>
                <w:color w:val="000000"/>
                <w:kern w:val="0"/>
                <w:sz w:val="20"/>
                <w:szCs w:val="20"/>
                <w:lang w:val="en-US" w:eastAsia="zh-CN"/>
              </w:rPr>
              <w:t>9亿元</w:t>
            </w:r>
          </w:p>
        </w:tc>
        <w:tc>
          <w:tcPr>
            <w:tcW w:w="3385" w:type="dxa"/>
            <w:gridSpan w:val="2"/>
            <w:tcBorders>
              <w:top w:val="single" w:color="auto" w:sz="4" w:space="0"/>
              <w:left w:val="single" w:color="auto" w:sz="4" w:space="0"/>
              <w:bottom w:val="single" w:color="auto" w:sz="4" w:space="0"/>
              <w:right w:val="single" w:color="auto" w:sz="4" w:space="0"/>
            </w:tcBorders>
            <w:vAlign w:val="center"/>
          </w:tc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jc w:val="center"/>
            </w:pPr>
          </w:p>
        </w:tc>
        <w:tc>
          <w:tcPr>
            <w:tcW w:w="3498" w:type="dxa"/>
            <w:gridSpan w:val="3"/>
            <w:tcBorders>
              <w:top w:val="single" w:color="auto" w:sz="4" w:space="0"/>
              <w:left w:val="single" w:color="auto" w:sz="4" w:space="0"/>
              <w:bottom w:val="single" w:color="auto" w:sz="4" w:space="0"/>
              <w:right w:val="single" w:color="auto" w:sz="4" w:space="0"/>
            </w:tcBorders>
            <w:vAlign w:val="center"/>
          </w:tcPr>
          <w:p/>
        </w:tc>
        <w:tc>
          <w:tcPr>
            <w:tcW w:w="265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auto" w:sz="4" w:space="0"/>
              <w:left w:val="single" w:color="auto" w:sz="4" w:space="0"/>
              <w:bottom w:val="single" w:color="auto" w:sz="4" w:space="0"/>
              <w:right w:val="single" w:color="auto" w:sz="4" w:space="0"/>
            </w:tcBorders>
            <w:vAlign w:val="center"/>
          </w:tc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10618" w:type="dxa"/>
            <w:gridSpan w:val="8"/>
            <w:tcBorders>
              <w:top w:val="single" w:color="auto" w:sz="4" w:space="0"/>
              <w:left w:val="single" w:color="auto" w:sz="4" w:space="0"/>
              <w:bottom w:val="single" w:color="auto" w:sz="4" w:space="0"/>
              <w:right w:val="single" w:color="auto" w:sz="4" w:space="0"/>
            </w:tcBorders>
            <w:vAlign w:val="center"/>
          </w:tcPr>
          <w:p>
            <w:pPr>
              <w:widowControl/>
              <w:textAlignment w:val="center"/>
            </w:pPr>
            <w:r>
              <w:rPr>
                <w:rFonts w:hint="eastAsia" w:ascii="宋体" w:hAnsi="宋体" w:eastAsia="宋体" w:cs="宋体"/>
                <w:color w:val="000000"/>
                <w:kern w:val="0"/>
                <w:sz w:val="24"/>
                <w:szCs w:val="24"/>
              </w:rPr>
              <w:t>二、评价综合意见</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主要绩效情况</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olor w:val="000000"/>
                <w:sz w:val="24"/>
                <w:szCs w:val="24"/>
              </w:rPr>
            </w:pPr>
            <w:r>
              <w:rPr>
                <w:rFonts w:hint="eastAsia" w:ascii="仿宋" w:hAnsi="仿宋" w:eastAsia="仿宋"/>
                <w:color w:val="000000"/>
                <w:sz w:val="24"/>
                <w:szCs w:val="24"/>
              </w:rPr>
              <w:t>实现主营业务收入25亿元，同比增长13%；工业总产值24亿元，同比增长13%；规模以上工业增加值5.6元，同比增长28%，完成市下达目标5.48亿元的102%；招商引资资金9亿元，同比增长15%，完成市下达目标8.96亿元的100%；固定资产投资9亿元，同比增长15%，完成市下达目标8.95亿元的100%，投资1000万元以上新开工工业投资项目8个，完成市下达目标7个的114%；投资1000万元以上新竣工工业投资项目5个，完成市下达目标5个的100%。标准厂房竣工面积3.49万平方米，完成市下达目标3万平方米的116%。</w:t>
            </w:r>
          </w:p>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735" w:hRule="atLeast"/>
        </w:trPr>
        <w:tc>
          <w:tcPr>
            <w:tcW w:w="2434"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pPr>
            <w:r>
              <w:rPr>
                <w:rFonts w:hint="eastAsia" w:ascii="宋体" w:hAnsi="宋体" w:eastAsia="宋体" w:cs="宋体"/>
                <w:color w:val="000000"/>
                <w:kern w:val="0"/>
                <w:sz w:val="24"/>
                <w:szCs w:val="24"/>
              </w:rPr>
              <w:t>主要问题与建议</w:t>
            </w:r>
          </w:p>
        </w:tc>
        <w:tc>
          <w:tcPr>
            <w:tcW w:w="8184" w:type="dxa"/>
            <w:gridSpan w:val="6"/>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 w:val="24"/>
                <w:szCs w:val="24"/>
              </w:rPr>
            </w:pPr>
            <w:r>
              <w:rPr>
                <w:rFonts w:hint="eastAsia" w:ascii="仿宋" w:hAnsi="仿宋" w:eastAsia="仿宋"/>
                <w:color w:val="000000"/>
                <w:sz w:val="24"/>
                <w:szCs w:val="24"/>
              </w:rPr>
              <w:t>在设定量化细化的绩效目标时，更加科学合理的设置绩效指标年度指标值，</w:t>
            </w:r>
          </w:p>
          <w:p>
            <w:pPr>
              <w:rPr>
                <w:rFonts w:ascii="仿宋" w:hAnsi="仿宋" w:eastAsia="仿宋"/>
                <w:color w:val="000000"/>
                <w:sz w:val="24"/>
                <w:szCs w:val="24"/>
              </w:rPr>
            </w:pPr>
            <w:r>
              <w:rPr>
                <w:rFonts w:hint="eastAsia" w:ascii="仿宋" w:hAnsi="仿宋" w:eastAsia="仿宋"/>
                <w:color w:val="000000"/>
                <w:sz w:val="24"/>
                <w:szCs w:val="24"/>
              </w:rPr>
              <w:t>项目预算执行及时、有效，绩效目标得到较好实现，绩效管理水平不断提高，</w:t>
            </w:r>
          </w:p>
          <w:p>
            <w:r>
              <w:rPr>
                <w:rFonts w:hint="eastAsia" w:ascii="仿宋" w:hAnsi="仿宋" w:eastAsia="仿宋"/>
                <w:color w:val="000000"/>
                <w:sz w:val="24"/>
                <w:szCs w:val="24"/>
              </w:rPr>
              <w:t>绩效指标体系建设逐渐丰富和完善，真正发挥绩效管理的作用</w:t>
            </w: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c>
          <w:tcPr>
            <w:tcW w:w="2420" w:type="dxa"/>
            <w:tcBorders>
              <w:top w:val="single" w:color="auto" w:sz="4" w:space="0"/>
              <w:left w:val="single" w:color="auto" w:sz="4" w:space="0"/>
              <w:bottom w:val="single" w:color="auto" w:sz="4" w:space="0"/>
              <w:right w:val="single" w:color="auto" w:sz="4" w:space="0"/>
            </w:tcBorders>
          </w:tcPr>
          <w:p>
            <w:pPr>
              <w:widowControl/>
              <w:textAlignment w:val="center"/>
              <w:rPr>
                <w:rFonts w:ascii="宋体" w:hAnsi="宋体" w:eastAsia="宋体" w:cs="宋体"/>
                <w:color w:val="000000"/>
                <w:kern w:val="0"/>
                <w:sz w:val="24"/>
                <w:szCs w:val="24"/>
              </w:rPr>
            </w:pPr>
          </w:p>
        </w:tc>
      </w:tr>
    </w:tbl>
    <w:p>
      <w:pPr>
        <w:rPr>
          <w:rFonts w:hint="eastAsia"/>
          <w:sz w:val="30"/>
          <w:szCs w:val="30"/>
          <w:lang w:val="en-US" w:eastAsia="zh-CN"/>
        </w:rPr>
      </w:pPr>
      <w:r>
        <w:rPr>
          <w:rFonts w:hint="eastAsia"/>
          <w:sz w:val="30"/>
          <w:szCs w:val="30"/>
          <w:lang w:val="en-US" w:eastAsia="zh-CN"/>
        </w:rPr>
        <w:t xml:space="preserve">     2017年元江工业园区共涉及项目支出3个，均未开展绩效评价，主要原因是：市级工业园区基础设施建设补助项目由市工信委统一进行项目绩效评价。下步我单位将严格执照相关要求认真开展项目绩效评价工作</w:t>
      </w:r>
    </w:p>
    <w:p>
      <w:pPr>
        <w:rPr>
          <w:rFonts w:hint="eastAsia"/>
          <w:sz w:val="30"/>
          <w:szCs w:val="30"/>
          <w:lang w:val="en-US" w:eastAsia="zh-CN"/>
        </w:rPr>
      </w:pPr>
    </w:p>
    <w:p>
      <w:pPr>
        <w:widowControl/>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预算单位：</w:t>
      </w:r>
      <w:r>
        <w:rPr>
          <w:rFonts w:hint="eastAsia" w:ascii="宋体" w:hAnsi="宋体" w:eastAsia="宋体" w:cs="宋体"/>
          <w:color w:val="000000"/>
          <w:kern w:val="0"/>
          <w:sz w:val="24"/>
          <w:szCs w:val="24"/>
          <w:lang w:eastAsia="zh-CN"/>
        </w:rPr>
        <w:t>元江工业园区管理委员会</w:t>
      </w:r>
      <w:r>
        <w:rPr>
          <w:rFonts w:hint="eastAsia" w:ascii="宋体" w:hAnsi="宋体" w:eastAsia="宋体" w:cs="宋体"/>
          <w:color w:val="000000"/>
          <w:kern w:val="0"/>
          <w:sz w:val="24"/>
          <w:szCs w:val="24"/>
        </w:rPr>
        <w:t xml:space="preserve">     公告时间：</w:t>
      </w:r>
    </w:p>
    <w:p>
      <w:pPr>
        <w:jc w:val="center"/>
        <w:rPr>
          <w:rFonts w:ascii="Times New Roman" w:hAnsi="仿宋" w:eastAsia="仿宋" w:cs="Times New Roman"/>
          <w:sz w:val="32"/>
          <w:szCs w:val="32"/>
        </w:rPr>
      </w:pPr>
      <w:r>
        <w:rPr>
          <w:rFonts w:ascii="Times New Roman" w:hAnsi="Times New Roman" w:eastAsia="仿宋" w:cs="Times New Roman"/>
          <w:b/>
          <w:sz w:val="32"/>
          <w:szCs w:val="32"/>
        </w:rPr>
        <w:t xml:space="preserve">                 </w:t>
      </w:r>
      <w:r>
        <w:rPr>
          <w:rFonts w:ascii="Times New Roman" w:hAnsi="Times New Roman" w:eastAsia="仿宋" w:cs="Times New Roman"/>
          <w:sz w:val="32"/>
          <w:szCs w:val="32"/>
        </w:rPr>
        <w:t xml:space="preserve"> </w:t>
      </w:r>
      <w:bookmarkStart w:id="0" w:name="_GoBack"/>
      <w:bookmarkEnd w:id="0"/>
    </w:p>
    <w:p>
      <w:pPr>
        <w:rPr>
          <w:rFonts w:hint="eastAsia"/>
          <w:sz w:val="30"/>
          <w:szCs w:val="30"/>
          <w:lang w:val="en-US" w:eastAsia="zh-CN"/>
        </w:rPr>
      </w:pPr>
      <w:r>
        <w:rPr>
          <w:rFonts w:ascii="Times New Roman" w:hAnsi="Times New Roman" w:eastAsia="仿宋" w:cs="Times New Roman"/>
          <w:sz w:val="32"/>
          <w:szCs w:val="32"/>
        </w:rPr>
        <w:t xml:space="preserve">                 2018</w:t>
      </w:r>
      <w:r>
        <w:rPr>
          <w:rFonts w:ascii="Times New Roman" w:hAnsi="仿宋" w:eastAsia="仿宋" w:cs="Times New Roman"/>
          <w:sz w:val="32"/>
          <w:szCs w:val="32"/>
        </w:rPr>
        <w:t>年</w:t>
      </w:r>
      <w:r>
        <w:rPr>
          <w:rFonts w:hint="eastAsia" w:ascii="Times New Roman" w:hAnsi="Times New Roman" w:eastAsia="仿宋" w:cs="Times New Roman"/>
          <w:sz w:val="32"/>
          <w:szCs w:val="32"/>
        </w:rPr>
        <w:t>10</w:t>
      </w:r>
      <w:r>
        <w:rPr>
          <w:rFonts w:ascii="Times New Roman" w:hAnsi="仿宋" w:eastAsia="仿宋" w:cs="Times New Roman"/>
          <w:sz w:val="32"/>
          <w:szCs w:val="32"/>
        </w:rPr>
        <w:t>月</w:t>
      </w:r>
      <w:r>
        <w:rPr>
          <w:rFonts w:hint="eastAsia" w:ascii="Times New Roman" w:hAnsi="Times New Roman" w:eastAsia="仿宋" w:cs="Times New Roman"/>
          <w:sz w:val="32"/>
          <w:szCs w:val="32"/>
        </w:rPr>
        <w:t>29</w:t>
      </w:r>
      <w:r>
        <w:rPr>
          <w:rFonts w:ascii="Times New Roman" w:hAnsi="仿宋" w:eastAsia="仿宋"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AC8E1"/>
    <w:multiLevelType w:val="singleLevel"/>
    <w:tmpl w:val="5C4AC8E1"/>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7C7B"/>
    <w:rsid w:val="00080321"/>
    <w:rsid w:val="00107899"/>
    <w:rsid w:val="00131F54"/>
    <w:rsid w:val="00172A27"/>
    <w:rsid w:val="00237EFB"/>
    <w:rsid w:val="00275322"/>
    <w:rsid w:val="0028424D"/>
    <w:rsid w:val="003D36D1"/>
    <w:rsid w:val="004242EA"/>
    <w:rsid w:val="004261C0"/>
    <w:rsid w:val="00510743"/>
    <w:rsid w:val="006922B8"/>
    <w:rsid w:val="007B55FF"/>
    <w:rsid w:val="007E5F5F"/>
    <w:rsid w:val="00922835"/>
    <w:rsid w:val="00A658CA"/>
    <w:rsid w:val="00BA42E4"/>
    <w:rsid w:val="00BB1055"/>
    <w:rsid w:val="00C5525D"/>
    <w:rsid w:val="00D069A4"/>
    <w:rsid w:val="00FE221E"/>
    <w:rsid w:val="0D823FF6"/>
    <w:rsid w:val="17BB705D"/>
    <w:rsid w:val="203721CC"/>
    <w:rsid w:val="24557AF9"/>
    <w:rsid w:val="261D7F60"/>
    <w:rsid w:val="29D17040"/>
    <w:rsid w:val="359065DB"/>
    <w:rsid w:val="3794632D"/>
    <w:rsid w:val="38C4283B"/>
    <w:rsid w:val="3C127225"/>
    <w:rsid w:val="484C3651"/>
    <w:rsid w:val="7874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Default"/>
    <w:unhideWhenUsed/>
    <w:qFormat/>
    <w:uiPriority w:val="99"/>
    <w:pPr>
      <w:widowControl w:val="0"/>
      <w:autoSpaceDE w:val="0"/>
      <w:autoSpaceDN w:val="0"/>
      <w:adjustRightInd w:val="0"/>
    </w:pPr>
    <w:rPr>
      <w:rFonts w:hint="eastAsia" w:ascii="仿宋" w:hAnsi="仿宋" w:eastAsia="仿宋" w:cs="Times New Roman"/>
      <w:color w:val="000000"/>
      <w:sz w:val="24"/>
      <w:lang w:val="en-US" w:eastAsia="zh-CN" w:bidi="ar-SA"/>
    </w:rPr>
  </w:style>
  <w:style w:type="character" w:customStyle="1" w:styleId="8">
    <w:name w:val="页眉 Char"/>
    <w:basedOn w:val="4"/>
    <w:link w:val="3"/>
    <w:semiHidden/>
    <w:uiPriority w:val="99"/>
    <w:rPr>
      <w:rFonts w:asciiTheme="minorHAnsi" w:hAnsiTheme="minorHAnsi" w:eastAsiaTheme="minorEastAsia" w:cstheme="minorBidi"/>
      <w:kern w:val="2"/>
      <w:sz w:val="18"/>
      <w:szCs w:val="18"/>
    </w:rPr>
  </w:style>
  <w:style w:type="character" w:customStyle="1" w:styleId="9">
    <w:name w:val="页脚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130</Words>
  <Characters>744</Characters>
  <Lines>6</Lines>
  <Paragraphs>1</Paragraphs>
  <TotalTime>1</TotalTime>
  <ScaleCrop>false</ScaleCrop>
  <LinksUpToDate>false</LinksUpToDate>
  <CharactersWithSpaces>873</CharactersWithSpaces>
  <Application>WPS Office_11.1.0.8236_F1E327BC-269C-435d-A152-05C5408002CA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2019-01-26T00:51:00Z</dcterms:created>
  <dc:creator>dell</dc:creator>
  <cp:lastModifiedBy>125762267</cp:lastModifiedBy>
  <dcterms:modified xsi:type="dcterms:W3CDTF">2019-01-28T02:42:25Z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