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BCF" w:rsidRDefault="00313313">
      <w:pPr>
        <w:widowControl/>
        <w:spacing w:line="580" w:lineRule="exact"/>
        <w:jc w:val="center"/>
        <w:rPr>
          <w:rFonts w:eastAsiaTheme="minorEastAsia" w:hAnsiTheme="minorEastAsia"/>
          <w:b/>
          <w:kern w:val="0"/>
          <w:sz w:val="36"/>
          <w:szCs w:val="36"/>
        </w:rPr>
      </w:pPr>
      <w:r>
        <w:rPr>
          <w:rFonts w:eastAsiaTheme="minorEastAsia" w:hint="eastAsia"/>
          <w:b/>
          <w:kern w:val="0"/>
          <w:sz w:val="36"/>
          <w:szCs w:val="36"/>
        </w:rPr>
        <w:t>元江县</w:t>
      </w:r>
      <w:r>
        <w:rPr>
          <w:rFonts w:eastAsiaTheme="minorEastAsia" w:hint="eastAsia"/>
          <w:b/>
          <w:kern w:val="0"/>
          <w:sz w:val="36"/>
          <w:szCs w:val="36"/>
        </w:rPr>
        <w:t>市场监督管理</w:t>
      </w:r>
      <w:r>
        <w:rPr>
          <w:rFonts w:eastAsiaTheme="minorEastAsia" w:hint="eastAsia"/>
          <w:b/>
          <w:kern w:val="0"/>
          <w:sz w:val="36"/>
          <w:szCs w:val="36"/>
        </w:rPr>
        <w:t>局</w:t>
      </w:r>
      <w:r>
        <w:rPr>
          <w:rFonts w:eastAsiaTheme="minorEastAsia"/>
          <w:b/>
          <w:kern w:val="0"/>
          <w:sz w:val="36"/>
          <w:szCs w:val="36"/>
        </w:rPr>
        <w:t>2017</w:t>
      </w:r>
      <w:r>
        <w:rPr>
          <w:rFonts w:eastAsiaTheme="minorEastAsia" w:hAnsiTheme="minorEastAsia"/>
          <w:b/>
          <w:kern w:val="0"/>
          <w:sz w:val="36"/>
          <w:szCs w:val="36"/>
        </w:rPr>
        <w:t>年部门决算公开</w:t>
      </w:r>
    </w:p>
    <w:p w:rsidR="00983BCF" w:rsidRDefault="00313313">
      <w:pPr>
        <w:widowControl/>
        <w:spacing w:line="580" w:lineRule="exact"/>
        <w:jc w:val="center"/>
        <w:rPr>
          <w:rFonts w:eastAsiaTheme="minorEastAsia"/>
          <w:b/>
          <w:kern w:val="0"/>
          <w:sz w:val="36"/>
          <w:szCs w:val="36"/>
        </w:rPr>
      </w:pPr>
      <w:r>
        <w:rPr>
          <w:rFonts w:eastAsiaTheme="minorEastAsia" w:hAnsiTheme="minorEastAsia"/>
          <w:b/>
          <w:sz w:val="36"/>
          <w:szCs w:val="36"/>
        </w:rPr>
        <w:t>名词解释</w:t>
      </w:r>
    </w:p>
    <w:p w:rsidR="00983BCF" w:rsidRDefault="00983BCF">
      <w:pPr>
        <w:widowControl/>
        <w:spacing w:line="580" w:lineRule="exact"/>
        <w:ind w:firstLineChars="200" w:firstLine="640"/>
        <w:jc w:val="left"/>
        <w:rPr>
          <w:rFonts w:asciiTheme="minorEastAsia" w:eastAsiaTheme="minorEastAsia" w:hAnsiTheme="minorEastAsia"/>
          <w:kern w:val="0"/>
          <w:sz w:val="32"/>
          <w:szCs w:val="32"/>
        </w:rPr>
      </w:pPr>
    </w:p>
    <w:p w:rsidR="00983BCF" w:rsidRDefault="00313313">
      <w:pPr>
        <w:ind w:firstLineChars="150" w:firstLine="480"/>
        <w:rPr>
          <w:rFonts w:ascii="方正黑体_GBK" w:eastAsia="方正黑体_GBK" w:hAnsi="黑体"/>
        </w:rPr>
      </w:pPr>
      <w:r>
        <w:rPr>
          <w:rFonts w:ascii="方正黑体_GBK" w:eastAsia="方正黑体_GBK" w:hAnsi="黑体" w:hint="eastAsia"/>
          <w:sz w:val="32"/>
          <w:szCs w:val="32"/>
        </w:rPr>
        <w:t>一、名词解释</w:t>
      </w:r>
    </w:p>
    <w:p w:rsidR="00983BCF" w:rsidRDefault="00313313">
      <w:pPr>
        <w:pStyle w:val="a5"/>
        <w:widowControl/>
        <w:shd w:val="clear" w:color="auto" w:fill="FFFFFF"/>
        <w:spacing w:line="540" w:lineRule="atLeast"/>
        <w:ind w:firstLineChars="150" w:firstLine="450"/>
        <w:rPr>
          <w:rFonts w:ascii="微软雅黑" w:eastAsia="微软雅黑" w:hAnsi="微软雅黑" w:cs="微软雅黑"/>
          <w:color w:val="333333"/>
          <w:sz w:val="30"/>
          <w:szCs w:val="30"/>
        </w:rPr>
      </w:pPr>
      <w:r>
        <w:rPr>
          <w:rFonts w:eastAsia="方正仿宋_GBK" w:hint="eastAsia"/>
          <w:color w:val="000000"/>
          <w:sz w:val="30"/>
          <w:szCs w:val="30"/>
        </w:rPr>
        <w:t xml:space="preserve"> 1</w:t>
      </w:r>
      <w:r>
        <w:rPr>
          <w:rFonts w:eastAsia="方正仿宋_GBK" w:hint="eastAsia"/>
          <w:color w:val="000000"/>
          <w:sz w:val="30"/>
          <w:szCs w:val="30"/>
        </w:rPr>
        <w:t>、</w:t>
      </w:r>
      <w:r>
        <w:rPr>
          <w:rFonts w:ascii="仿宋_GB2312" w:eastAsia="仿宋_GB2312" w:hAnsi="微软雅黑" w:cs="仿宋_GB2312"/>
          <w:b/>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指财政当年拨付的资金事业收入。</w:t>
      </w:r>
    </w:p>
    <w:p w:rsidR="00983BCF" w:rsidRDefault="00313313">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2</w:t>
      </w:r>
      <w:r>
        <w:rPr>
          <w:rFonts w:ascii="仿宋_GB2312" w:eastAsia="仿宋_GB2312" w:hAnsi="微软雅黑" w:cs="仿宋_GB2312"/>
          <w:b/>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指事业单位开展专业业务活动</w:t>
      </w:r>
      <w:proofErr w:type="gramStart"/>
      <w:r>
        <w:rPr>
          <w:rFonts w:ascii="仿宋_GB2312" w:eastAsia="仿宋_GB2312" w:hAnsi="微软雅黑" w:cs="仿宋_GB2312"/>
          <w:color w:val="333333"/>
          <w:sz w:val="30"/>
          <w:szCs w:val="30"/>
          <w:shd w:val="clear" w:color="auto" w:fill="FFFFFF"/>
        </w:rPr>
        <w:t>及辅动所</w:t>
      </w:r>
      <w:proofErr w:type="gramEnd"/>
      <w:r>
        <w:rPr>
          <w:rFonts w:ascii="仿宋_GB2312" w:eastAsia="仿宋_GB2312" w:hAnsi="微软雅黑" w:cs="仿宋_GB2312"/>
          <w:color w:val="333333"/>
          <w:sz w:val="30"/>
          <w:szCs w:val="30"/>
          <w:shd w:val="clear" w:color="auto" w:fill="FFFFFF"/>
        </w:rPr>
        <w:t>取得的收入。</w:t>
      </w:r>
    </w:p>
    <w:p w:rsidR="00983BCF" w:rsidRDefault="00313313">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3</w:t>
      </w:r>
      <w:r>
        <w:rPr>
          <w:rFonts w:ascii="仿宋_GB2312" w:eastAsia="仿宋_GB2312" w:hAnsi="微软雅黑" w:cs="仿宋_GB2312"/>
          <w:b/>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指事业单位在专业业务活动及其辅助活动之外开展非独立核算经营活动取得的收入。</w:t>
      </w:r>
    </w:p>
    <w:p w:rsidR="00983BCF" w:rsidRDefault="00313313">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4</w:t>
      </w:r>
      <w:r>
        <w:rPr>
          <w:rFonts w:ascii="仿宋_GB2312" w:eastAsia="仿宋_GB2312" w:hAnsi="微软雅黑" w:cs="仿宋_GB2312"/>
          <w:b/>
          <w:color w:val="333333"/>
          <w:sz w:val="30"/>
          <w:szCs w:val="30"/>
          <w:shd w:val="clear" w:color="auto" w:fill="FFFFFF"/>
        </w:rPr>
        <w:t>、其他收入：</w:t>
      </w:r>
      <w:r>
        <w:rPr>
          <w:rFonts w:ascii="仿宋_GB2312" w:eastAsia="仿宋_GB2312" w:hAnsi="微软雅黑" w:cs="仿宋_GB2312"/>
          <w:color w:val="333333"/>
          <w:sz w:val="30"/>
          <w:szCs w:val="30"/>
          <w:shd w:val="clear" w:color="auto" w:fill="FFFFFF"/>
        </w:rPr>
        <w:t>指除上述</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等以外的收入。主要是非本级财政拨款、存款利息收入、事业单位固定资产出租收入等。</w:t>
      </w:r>
    </w:p>
    <w:p w:rsidR="00983BCF" w:rsidRDefault="00313313">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5</w:t>
      </w:r>
      <w:r>
        <w:rPr>
          <w:rFonts w:ascii="仿宋_GB2312" w:eastAsia="仿宋_GB2312" w:hAnsi="微软雅黑" w:cs="仿宋_GB2312"/>
          <w:b/>
          <w:color w:val="333333"/>
          <w:sz w:val="30"/>
          <w:szCs w:val="30"/>
          <w:shd w:val="clear" w:color="auto" w:fill="FFFFFF"/>
        </w:rPr>
        <w:t>、用事业基金弥补收支差额：</w:t>
      </w:r>
      <w:r>
        <w:rPr>
          <w:rFonts w:ascii="仿宋_GB2312" w:eastAsia="仿宋_GB2312" w:hAnsi="微软雅黑" w:cs="仿宋_GB2312"/>
          <w:color w:val="333333"/>
          <w:sz w:val="30"/>
          <w:szCs w:val="30"/>
          <w:shd w:val="clear" w:color="auto" w:fill="FFFFFF"/>
        </w:rPr>
        <w:t>指事业单位在用当年的</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 “</w:t>
      </w:r>
      <w:r>
        <w:rPr>
          <w:rFonts w:ascii="仿宋_GB2312" w:eastAsia="仿宋_GB2312" w:hAnsi="微软雅黑" w:cs="仿宋_GB2312"/>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其他收入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不足以安排当年支出的情况下，使用以前年度积累的事业基金（事业单位当年收支相抵后按国家规定提取、用于弥补以后年度收支差额的基金）弥补本年度收支缺口的资金。</w:t>
      </w:r>
    </w:p>
    <w:p w:rsidR="00983BCF" w:rsidRDefault="00313313">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6</w:t>
      </w:r>
      <w:r>
        <w:rPr>
          <w:rFonts w:ascii="仿宋_GB2312" w:eastAsia="仿宋_GB2312" w:hAnsi="微软雅黑" w:cs="仿宋_GB2312"/>
          <w:b/>
          <w:color w:val="333333"/>
          <w:sz w:val="30"/>
          <w:szCs w:val="30"/>
          <w:shd w:val="clear" w:color="auto" w:fill="FFFFFF"/>
        </w:rPr>
        <w:t>、年初结转和结余：</w:t>
      </w:r>
      <w:r>
        <w:rPr>
          <w:rFonts w:ascii="仿宋_GB2312" w:eastAsia="仿宋_GB2312" w:hAnsi="微软雅黑" w:cs="仿宋_GB2312"/>
          <w:color w:val="333333"/>
          <w:sz w:val="30"/>
          <w:szCs w:val="30"/>
          <w:shd w:val="clear" w:color="auto" w:fill="FFFFFF"/>
        </w:rPr>
        <w:t>指以前年度尚未完成、结转到本年按有关规定继续使用的资金。</w:t>
      </w:r>
    </w:p>
    <w:p w:rsidR="00983BCF" w:rsidRDefault="00313313">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7</w:t>
      </w:r>
      <w:r>
        <w:rPr>
          <w:rFonts w:ascii="仿宋_GB2312" w:eastAsia="仿宋_GB2312" w:hAnsi="微软雅黑" w:cs="仿宋_GB2312"/>
          <w:b/>
          <w:color w:val="333333"/>
          <w:sz w:val="30"/>
          <w:szCs w:val="30"/>
          <w:shd w:val="clear" w:color="auto" w:fill="FFFFFF"/>
        </w:rPr>
        <w:t>、结余分配：</w:t>
      </w:r>
      <w:r>
        <w:rPr>
          <w:rFonts w:ascii="仿宋_GB2312" w:eastAsia="仿宋_GB2312" w:hAnsi="微软雅黑" w:cs="仿宋_GB2312"/>
          <w:color w:val="333333"/>
          <w:sz w:val="30"/>
          <w:szCs w:val="30"/>
          <w:shd w:val="clear" w:color="auto" w:fill="FFFFFF"/>
        </w:rPr>
        <w:t>指</w:t>
      </w:r>
      <w:proofErr w:type="gramStart"/>
      <w:r>
        <w:rPr>
          <w:rFonts w:ascii="仿宋_GB2312" w:eastAsia="仿宋_GB2312" w:hAnsi="微软雅黑" w:cs="仿宋_GB2312"/>
          <w:color w:val="333333"/>
          <w:sz w:val="30"/>
          <w:szCs w:val="30"/>
          <w:shd w:val="clear" w:color="auto" w:fill="FFFFFF"/>
        </w:rPr>
        <w:t>事业事位按规定</w:t>
      </w:r>
      <w:proofErr w:type="gramEnd"/>
      <w:r>
        <w:rPr>
          <w:rFonts w:ascii="仿宋_GB2312" w:eastAsia="仿宋_GB2312" w:hAnsi="微软雅黑" w:cs="仿宋_GB2312"/>
          <w:color w:val="333333"/>
          <w:sz w:val="30"/>
          <w:szCs w:val="30"/>
          <w:shd w:val="clear" w:color="auto" w:fill="FFFFFF"/>
        </w:rPr>
        <w:t>提取的职工福利基金、事业基金和缴纳的所得税，以及建设单位按规定应交回的基本建设竣工项目结余资金。</w:t>
      </w:r>
    </w:p>
    <w:p w:rsidR="00983BCF" w:rsidRDefault="00313313">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lastRenderedPageBreak/>
        <w:t>8</w:t>
      </w:r>
      <w:r>
        <w:rPr>
          <w:rFonts w:ascii="仿宋_GB2312" w:eastAsia="仿宋_GB2312" w:hAnsi="微软雅黑" w:cs="仿宋_GB2312"/>
          <w:b/>
          <w:color w:val="333333"/>
          <w:sz w:val="30"/>
          <w:szCs w:val="30"/>
          <w:shd w:val="clear" w:color="auto" w:fill="FFFFFF"/>
        </w:rPr>
        <w:t>、年末结转和结余：</w:t>
      </w:r>
      <w:r>
        <w:rPr>
          <w:rFonts w:ascii="仿宋_GB2312" w:eastAsia="仿宋_GB2312" w:hAnsi="微软雅黑" w:cs="仿宋_GB2312"/>
          <w:color w:val="333333"/>
          <w:sz w:val="30"/>
          <w:szCs w:val="30"/>
          <w:shd w:val="clear" w:color="auto" w:fill="FFFFFF"/>
        </w:rPr>
        <w:t>指本年度或以前年度预算安排、因客观条件发生变化无法按</w:t>
      </w:r>
      <w:r>
        <w:rPr>
          <w:rFonts w:ascii="仿宋_GB2312" w:eastAsia="仿宋_GB2312" w:hAnsi="微软雅黑" w:cs="仿宋_GB2312"/>
          <w:color w:val="333333"/>
          <w:sz w:val="30"/>
          <w:szCs w:val="30"/>
          <w:shd w:val="clear" w:color="auto" w:fill="FFFFFF"/>
        </w:rPr>
        <w:t>原计划实施，需要延迟到以后年度按有关规定继续使用的资金。</w:t>
      </w:r>
    </w:p>
    <w:p w:rsidR="00983BCF" w:rsidRDefault="00313313">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9</w:t>
      </w:r>
      <w:r>
        <w:rPr>
          <w:rFonts w:ascii="仿宋_GB2312" w:eastAsia="仿宋_GB2312" w:hAnsi="微软雅黑" w:cs="仿宋_GB2312"/>
          <w:b/>
          <w:color w:val="333333"/>
          <w:sz w:val="30"/>
          <w:szCs w:val="30"/>
          <w:shd w:val="clear" w:color="auto" w:fill="FFFFFF"/>
        </w:rPr>
        <w:t>、基本支出：</w:t>
      </w:r>
      <w:r>
        <w:rPr>
          <w:rFonts w:ascii="仿宋_GB2312" w:eastAsia="仿宋_GB2312" w:hAnsi="微软雅黑" w:cs="仿宋_GB2312"/>
          <w:color w:val="333333"/>
          <w:sz w:val="30"/>
          <w:szCs w:val="30"/>
          <w:shd w:val="clear" w:color="auto" w:fill="FFFFFF"/>
        </w:rPr>
        <w:t>指为保障机构正常运转、完成日常工作任务面发生的人员支出和公用支出。</w:t>
      </w:r>
    </w:p>
    <w:p w:rsidR="00983BCF" w:rsidRDefault="00313313">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10</w:t>
      </w:r>
      <w:r>
        <w:rPr>
          <w:rFonts w:ascii="仿宋_GB2312" w:eastAsia="仿宋_GB2312" w:hAnsi="微软雅黑" w:cs="仿宋_GB2312"/>
          <w:b/>
          <w:color w:val="333333"/>
          <w:sz w:val="30"/>
          <w:szCs w:val="30"/>
          <w:shd w:val="clear" w:color="auto" w:fill="FFFFFF"/>
        </w:rPr>
        <w:t>、项目支出：</w:t>
      </w:r>
      <w:r>
        <w:rPr>
          <w:rFonts w:ascii="仿宋_GB2312" w:eastAsia="仿宋_GB2312" w:hAnsi="微软雅黑" w:cs="仿宋_GB2312"/>
          <w:color w:val="333333"/>
          <w:sz w:val="30"/>
          <w:szCs w:val="30"/>
          <w:shd w:val="clear" w:color="auto" w:fill="FFFFFF"/>
        </w:rPr>
        <w:t>指在基本支出这外为完成特定行政任务和事业发展目标所发生的支出。</w:t>
      </w:r>
    </w:p>
    <w:p w:rsidR="00983BCF" w:rsidRDefault="00313313">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11</w:t>
      </w:r>
      <w:r>
        <w:rPr>
          <w:rFonts w:ascii="仿宋_GB2312" w:eastAsia="仿宋_GB2312" w:hAnsi="微软雅黑" w:cs="仿宋_GB2312"/>
          <w:b/>
          <w:color w:val="333333"/>
          <w:sz w:val="30"/>
          <w:szCs w:val="30"/>
          <w:shd w:val="clear" w:color="auto" w:fill="FFFFFF"/>
        </w:rPr>
        <w:t>、经营支出：</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指事业单位在专业业务活动及其辅助活动之外开展非独立核算经营活动所发生的支出。</w:t>
      </w:r>
    </w:p>
    <w:p w:rsidR="00983BCF" w:rsidRDefault="00313313">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12</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三公</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经费：</w:t>
      </w:r>
      <w:r>
        <w:rPr>
          <w:rFonts w:ascii="仿宋_GB2312" w:eastAsia="仿宋_GB2312" w:hAnsi="微软雅黑" w:cs="仿宋_GB2312"/>
          <w:color w:val="333333"/>
          <w:sz w:val="30"/>
          <w:szCs w:val="30"/>
          <w:shd w:val="clear" w:color="auto" w:fill="FFFFFF"/>
        </w:rPr>
        <w:t>按照党中央、国务院有关文件及部门预算管理有关规定，</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三公</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经费包括因公出国（境）费、公务用车购置及运行费和公务接待费。（</w:t>
      </w:r>
      <w:r>
        <w:rPr>
          <w:rFonts w:ascii="仿宋_GB2312" w:eastAsia="仿宋_GB2312" w:hAnsi="微软雅黑" w:cs="仿宋_GB2312"/>
          <w:color w:val="333333"/>
          <w:sz w:val="30"/>
          <w:szCs w:val="30"/>
          <w:shd w:val="clear" w:color="auto" w:fill="FFFFFF"/>
        </w:rPr>
        <w:t>1</w:t>
      </w:r>
      <w:r>
        <w:rPr>
          <w:rFonts w:ascii="仿宋_GB2312" w:eastAsia="仿宋_GB2312" w:hAnsi="微软雅黑" w:cs="仿宋_GB2312"/>
          <w:color w:val="333333"/>
          <w:sz w:val="30"/>
          <w:szCs w:val="30"/>
          <w:shd w:val="clear" w:color="auto" w:fill="FFFFFF"/>
        </w:rPr>
        <w:t>）因公出国（境）费，指单位工作人员公务出国（境）的住宿费</w:t>
      </w:r>
      <w:r>
        <w:rPr>
          <w:rFonts w:ascii="仿宋_GB2312" w:eastAsia="仿宋_GB2312" w:hAnsi="微软雅黑" w:cs="仿宋_GB2312"/>
          <w:color w:val="333333"/>
          <w:sz w:val="30"/>
          <w:szCs w:val="30"/>
          <w:shd w:val="clear" w:color="auto" w:fill="FFFFFF"/>
        </w:rPr>
        <w:t>、旅费、伙食补助费、杂费、培训费等支出。（</w:t>
      </w:r>
      <w:r>
        <w:rPr>
          <w:rFonts w:ascii="仿宋_GB2312" w:eastAsia="仿宋_GB2312" w:hAnsi="微软雅黑" w:cs="仿宋_GB2312"/>
          <w:color w:val="333333"/>
          <w:sz w:val="30"/>
          <w:szCs w:val="30"/>
          <w:shd w:val="clear" w:color="auto" w:fill="FFFFFF"/>
        </w:rPr>
        <w:t>2</w:t>
      </w:r>
      <w:r>
        <w:rPr>
          <w:rFonts w:ascii="仿宋_GB2312" w:eastAsia="仿宋_GB2312" w:hAnsi="微软雅黑" w:cs="仿宋_GB2312"/>
          <w:color w:val="333333"/>
          <w:sz w:val="30"/>
          <w:szCs w:val="30"/>
          <w:shd w:val="clear" w:color="auto" w:fill="FFFFFF"/>
        </w:rPr>
        <w:t>）公务用车购置及运行费，指单位公务用车购置费及租用费、燃料费、维修费、过路过桥费、保险费、安全奖励费用等支出。公务用车指用于履行公务的机动车辆，包括领导干部专车、一般公务用车和执法执勤用车。（</w:t>
      </w:r>
      <w:r>
        <w:rPr>
          <w:rFonts w:ascii="仿宋_GB2312" w:eastAsia="仿宋_GB2312" w:hAnsi="微软雅黑" w:cs="仿宋_GB2312"/>
          <w:color w:val="333333"/>
          <w:sz w:val="30"/>
          <w:szCs w:val="30"/>
          <w:shd w:val="clear" w:color="auto" w:fill="FFFFFF"/>
        </w:rPr>
        <w:t>3</w:t>
      </w:r>
      <w:r>
        <w:rPr>
          <w:rFonts w:ascii="仿宋_GB2312" w:eastAsia="仿宋_GB2312" w:hAnsi="微软雅黑" w:cs="仿宋_GB2312"/>
          <w:color w:val="333333"/>
          <w:sz w:val="30"/>
          <w:szCs w:val="30"/>
          <w:shd w:val="clear" w:color="auto" w:fill="FFFFFF"/>
        </w:rPr>
        <w:t>）公务接待费，指单位按规定开支的各类公务接待（含外宾接待）支出。</w:t>
      </w:r>
    </w:p>
    <w:p w:rsidR="00983BCF" w:rsidRDefault="00313313">
      <w:pPr>
        <w:spacing w:line="600" w:lineRule="exact"/>
        <w:ind w:firstLineChars="147" w:firstLine="443"/>
        <w:rPr>
          <w:rFonts w:eastAsia="方正仿宋_GBK"/>
          <w:color w:val="000000"/>
          <w:sz w:val="30"/>
          <w:szCs w:val="30"/>
        </w:rPr>
      </w:pPr>
      <w:r>
        <w:rPr>
          <w:rFonts w:ascii="仿宋_GB2312" w:eastAsia="仿宋_GB2312" w:hAnsi="微软雅黑" w:cs="仿宋_GB2312" w:hint="eastAsia"/>
          <w:b/>
          <w:color w:val="333333"/>
          <w:sz w:val="30"/>
          <w:szCs w:val="30"/>
          <w:shd w:val="clear" w:color="auto" w:fill="FFFFFF"/>
        </w:rPr>
        <w:t>13</w:t>
      </w:r>
      <w:r>
        <w:rPr>
          <w:rFonts w:ascii="仿宋_GB2312" w:eastAsia="仿宋_GB2312" w:hAnsi="微软雅黑" w:cs="仿宋_GB2312"/>
          <w:b/>
          <w:color w:val="333333"/>
          <w:sz w:val="30"/>
          <w:szCs w:val="30"/>
          <w:shd w:val="clear" w:color="auto" w:fill="FFFFFF"/>
        </w:rPr>
        <w:t>、机关运行经费：</w:t>
      </w:r>
      <w:r>
        <w:rPr>
          <w:rFonts w:ascii="仿宋_GB2312" w:eastAsia="仿宋_GB2312" w:hAnsi="微软雅黑"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w:t>
      </w:r>
      <w:r>
        <w:rPr>
          <w:rFonts w:ascii="仿宋_GB2312" w:eastAsia="仿宋_GB2312" w:hAnsi="微软雅黑" w:cs="仿宋_GB2312"/>
          <w:color w:val="333333"/>
          <w:sz w:val="30"/>
          <w:szCs w:val="30"/>
          <w:shd w:val="clear" w:color="auto" w:fill="FFFFFF"/>
        </w:rPr>
        <w:t>暖费、物业管理</w:t>
      </w:r>
      <w:r>
        <w:rPr>
          <w:rFonts w:ascii="仿宋_GB2312" w:eastAsia="仿宋_GB2312" w:hAnsi="微软雅黑" w:cs="仿宋_GB2312"/>
          <w:color w:val="333333"/>
          <w:sz w:val="30"/>
          <w:szCs w:val="30"/>
          <w:shd w:val="clear" w:color="auto" w:fill="FFFFFF"/>
        </w:rPr>
        <w:lastRenderedPageBreak/>
        <w:t>费、公务用车运行维护费以及其他费用。</w:t>
      </w:r>
    </w:p>
    <w:p w:rsidR="00983BCF" w:rsidRDefault="00983BCF">
      <w:pPr>
        <w:spacing w:line="600" w:lineRule="exact"/>
        <w:ind w:firstLineChars="200" w:firstLine="600"/>
        <w:rPr>
          <w:rFonts w:eastAsia="方正仿宋_GBK"/>
          <w:color w:val="000000"/>
          <w:sz w:val="30"/>
          <w:szCs w:val="30"/>
        </w:rPr>
      </w:pPr>
    </w:p>
    <w:p w:rsidR="00983BCF" w:rsidRDefault="00983BCF">
      <w:pPr>
        <w:spacing w:line="600" w:lineRule="exact"/>
        <w:ind w:firstLineChars="200" w:firstLine="640"/>
        <w:rPr>
          <w:rFonts w:eastAsia="方正仿宋_GBK"/>
          <w:color w:val="000000"/>
          <w:sz w:val="32"/>
          <w:szCs w:val="32"/>
        </w:rPr>
      </w:pPr>
    </w:p>
    <w:p w:rsidR="00983BCF" w:rsidRDefault="00313313">
      <w:pPr>
        <w:pStyle w:val="a6"/>
        <w:ind w:firstLineChars="500" w:firstLine="1600"/>
        <w:rPr>
          <w:rFonts w:ascii="仿宋_GB2312" w:eastAsia="仿宋_GB2312" w:hAnsi="仿宋_GB2312"/>
          <w:sz w:val="30"/>
          <w:szCs w:val="30"/>
        </w:rPr>
      </w:pPr>
      <w:bookmarkStart w:id="0" w:name="_GoBack"/>
      <w:bookmarkEnd w:id="0"/>
      <w:r>
        <w:rPr>
          <w:rFonts w:eastAsia="方正仿宋_GBK" w:hint="eastAsia"/>
          <w:color w:val="000000"/>
          <w:sz w:val="32"/>
          <w:szCs w:val="32"/>
        </w:rPr>
        <w:t xml:space="preserve">                       </w:t>
      </w:r>
      <w:r>
        <w:rPr>
          <w:rFonts w:ascii="仿宋_GB2312" w:eastAsia="仿宋_GB2312" w:hAnsi="仿宋_GB2312" w:hint="eastAsia"/>
          <w:sz w:val="30"/>
          <w:szCs w:val="30"/>
        </w:rPr>
        <w:t>元江县</w:t>
      </w:r>
      <w:r>
        <w:rPr>
          <w:rFonts w:ascii="仿宋_GB2312" w:eastAsia="仿宋_GB2312" w:hAnsi="仿宋_GB2312" w:hint="eastAsia"/>
          <w:sz w:val="30"/>
          <w:szCs w:val="30"/>
        </w:rPr>
        <w:t>市场监督管理</w:t>
      </w:r>
      <w:r>
        <w:rPr>
          <w:rFonts w:ascii="仿宋_GB2312" w:eastAsia="仿宋_GB2312" w:hAnsi="仿宋_GB2312" w:hint="eastAsia"/>
          <w:sz w:val="30"/>
          <w:szCs w:val="30"/>
        </w:rPr>
        <w:t>局</w:t>
      </w:r>
    </w:p>
    <w:p w:rsidR="00983BCF" w:rsidRDefault="00313313">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sidRPr="00313313">
        <w:rPr>
          <w:rFonts w:eastAsia="方正仿宋_GBK" w:hint="eastAsia"/>
          <w:color w:val="000000"/>
          <w:sz w:val="32"/>
          <w:szCs w:val="32"/>
        </w:rPr>
        <w:t>2019</w:t>
      </w:r>
      <w:r w:rsidRPr="00313313">
        <w:rPr>
          <w:rFonts w:eastAsia="方正仿宋_GBK" w:hint="eastAsia"/>
          <w:color w:val="000000"/>
          <w:sz w:val="32"/>
          <w:szCs w:val="32"/>
        </w:rPr>
        <w:t>年</w:t>
      </w:r>
      <w:r w:rsidRPr="00313313">
        <w:rPr>
          <w:rFonts w:eastAsia="方正仿宋_GBK" w:hint="eastAsia"/>
          <w:color w:val="000000"/>
          <w:sz w:val="32"/>
          <w:szCs w:val="32"/>
        </w:rPr>
        <w:t>1</w:t>
      </w:r>
      <w:r w:rsidRPr="00313313">
        <w:rPr>
          <w:rFonts w:eastAsia="方正仿宋_GBK" w:hint="eastAsia"/>
          <w:color w:val="000000"/>
          <w:sz w:val="32"/>
          <w:szCs w:val="32"/>
        </w:rPr>
        <w:t>月</w:t>
      </w:r>
      <w:r w:rsidRPr="00313313">
        <w:rPr>
          <w:rFonts w:eastAsia="方正仿宋_GBK" w:hint="eastAsia"/>
          <w:color w:val="000000"/>
          <w:sz w:val="32"/>
          <w:szCs w:val="32"/>
        </w:rPr>
        <w:t>28</w:t>
      </w:r>
      <w:r w:rsidRPr="00313313">
        <w:rPr>
          <w:rFonts w:eastAsia="方正仿宋_GBK" w:hint="eastAsia"/>
          <w:color w:val="000000"/>
          <w:sz w:val="32"/>
          <w:szCs w:val="32"/>
        </w:rPr>
        <w:t>日</w:t>
      </w:r>
    </w:p>
    <w:sectPr w:rsidR="00983BCF" w:rsidSect="00983B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313" w:rsidRDefault="00313313" w:rsidP="00313313">
      <w:r>
        <w:separator/>
      </w:r>
    </w:p>
  </w:endnote>
  <w:endnote w:type="continuationSeparator" w:id="0">
    <w:p w:rsidR="00313313" w:rsidRDefault="00313313" w:rsidP="003133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313" w:rsidRDefault="00313313" w:rsidP="00313313">
      <w:r>
        <w:separator/>
      </w:r>
    </w:p>
  </w:footnote>
  <w:footnote w:type="continuationSeparator" w:id="0">
    <w:p w:rsidR="00313313" w:rsidRDefault="00313313" w:rsidP="003133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74427"/>
    <w:rsid w:val="001122C1"/>
    <w:rsid w:val="00154845"/>
    <w:rsid w:val="00172A9D"/>
    <w:rsid w:val="001B6768"/>
    <w:rsid w:val="00264123"/>
    <w:rsid w:val="00313313"/>
    <w:rsid w:val="00316EFD"/>
    <w:rsid w:val="00384509"/>
    <w:rsid w:val="00397631"/>
    <w:rsid w:val="00447A4A"/>
    <w:rsid w:val="00450DB0"/>
    <w:rsid w:val="004518E4"/>
    <w:rsid w:val="00452AEA"/>
    <w:rsid w:val="004869D2"/>
    <w:rsid w:val="004A4C54"/>
    <w:rsid w:val="0051768C"/>
    <w:rsid w:val="005417F8"/>
    <w:rsid w:val="005867F2"/>
    <w:rsid w:val="005B0041"/>
    <w:rsid w:val="005C6CC1"/>
    <w:rsid w:val="0063751A"/>
    <w:rsid w:val="006E10E0"/>
    <w:rsid w:val="00704757"/>
    <w:rsid w:val="00736ABF"/>
    <w:rsid w:val="007D1ED9"/>
    <w:rsid w:val="007E743D"/>
    <w:rsid w:val="0086490F"/>
    <w:rsid w:val="00893A9E"/>
    <w:rsid w:val="008B7B6C"/>
    <w:rsid w:val="008E08FA"/>
    <w:rsid w:val="00983BCF"/>
    <w:rsid w:val="009A3CA9"/>
    <w:rsid w:val="00A05F38"/>
    <w:rsid w:val="00A10BBE"/>
    <w:rsid w:val="00A673DC"/>
    <w:rsid w:val="00AC1BCA"/>
    <w:rsid w:val="00AF4B85"/>
    <w:rsid w:val="00B274A8"/>
    <w:rsid w:val="00B4506F"/>
    <w:rsid w:val="00B45A46"/>
    <w:rsid w:val="00B936E8"/>
    <w:rsid w:val="00BD7FB0"/>
    <w:rsid w:val="00BE1533"/>
    <w:rsid w:val="00BE704E"/>
    <w:rsid w:val="00C905A3"/>
    <w:rsid w:val="00C95929"/>
    <w:rsid w:val="00CA59CE"/>
    <w:rsid w:val="00D22180"/>
    <w:rsid w:val="00D225BC"/>
    <w:rsid w:val="00D93682"/>
    <w:rsid w:val="00DA49A6"/>
    <w:rsid w:val="00E04870"/>
    <w:rsid w:val="00ED2FF8"/>
    <w:rsid w:val="00F14F27"/>
    <w:rsid w:val="00F25BC2"/>
    <w:rsid w:val="457D7DF8"/>
    <w:rsid w:val="70981E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BC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83BCF"/>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83BCF"/>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983BCF"/>
    <w:rPr>
      <w:rFonts w:asciiTheme="minorHAnsi" w:eastAsiaTheme="minorEastAsia" w:hAnsiTheme="minorHAnsi" w:cstheme="minorBidi"/>
      <w:sz w:val="24"/>
    </w:rPr>
  </w:style>
  <w:style w:type="character" w:customStyle="1" w:styleId="Char0">
    <w:name w:val="页眉 Char"/>
    <w:basedOn w:val="a0"/>
    <w:link w:val="a4"/>
    <w:uiPriority w:val="99"/>
    <w:semiHidden/>
    <w:qFormat/>
    <w:rsid w:val="00983BCF"/>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983BCF"/>
    <w:rPr>
      <w:rFonts w:ascii="Times New Roman" w:eastAsia="宋体" w:hAnsi="Times New Roman" w:cs="Times New Roman"/>
      <w:sz w:val="18"/>
      <w:szCs w:val="18"/>
    </w:rPr>
  </w:style>
  <w:style w:type="paragraph" w:styleId="a6">
    <w:name w:val="List Paragraph"/>
    <w:basedOn w:val="a"/>
    <w:uiPriority w:val="34"/>
    <w:qFormat/>
    <w:rsid w:val="00983BCF"/>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163</Words>
  <Characters>932</Characters>
  <Application>Microsoft Office Word</Application>
  <DocSecurity>0</DocSecurity>
  <Lines>7</Lines>
  <Paragraphs>2</Paragraphs>
  <ScaleCrop>false</ScaleCrop>
  <Company>Sky123.Org</Company>
  <LinksUpToDate>false</LinksUpToDate>
  <CharactersWithSpaces>1093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白苏兰</cp:lastModifiedBy>
  <cp:revision>15</cp:revision>
  <cp:lastPrinted>2019-01-25T00:02:00Z</cp:lastPrinted>
  <dcterms:created xsi:type="dcterms:W3CDTF">2019-01-24T23:55:00Z</dcterms:created>
  <dcterms:modified xsi:type="dcterms:W3CDTF">2019-01-28T07:54:00Z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