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845" w:rsidRPr="001B6768" w:rsidRDefault="007D15E3" w:rsidP="001B6768">
      <w:pPr>
        <w:widowControl/>
        <w:spacing w:line="580" w:lineRule="exact"/>
        <w:jc w:val="center"/>
        <w:rPr>
          <w:rFonts w:eastAsiaTheme="minorEastAsia"/>
          <w:b/>
          <w:kern w:val="0"/>
          <w:sz w:val="36"/>
          <w:szCs w:val="36"/>
        </w:rPr>
      </w:pPr>
      <w:r>
        <w:rPr>
          <w:rFonts w:eastAsiaTheme="minorEastAsia" w:hint="eastAsia"/>
          <w:b/>
          <w:kern w:val="0"/>
          <w:sz w:val="36"/>
          <w:szCs w:val="36"/>
        </w:rPr>
        <w:t>元江哈尼族彝族傣族自治县工业商贸和科技信息局</w:t>
      </w:r>
      <w:r w:rsidR="00154845" w:rsidRPr="001B6768">
        <w:rPr>
          <w:rFonts w:eastAsiaTheme="minorEastAsia"/>
          <w:b/>
          <w:kern w:val="0"/>
          <w:sz w:val="36"/>
          <w:szCs w:val="36"/>
        </w:rPr>
        <w:t>201</w:t>
      </w:r>
      <w:r w:rsidR="007D7248">
        <w:rPr>
          <w:rFonts w:eastAsiaTheme="minorEastAsia" w:hint="eastAsia"/>
          <w:b/>
          <w:kern w:val="0"/>
          <w:sz w:val="36"/>
          <w:szCs w:val="36"/>
        </w:rPr>
        <w:t>8</w:t>
      </w:r>
      <w:r w:rsidR="00154845" w:rsidRPr="001B6768">
        <w:rPr>
          <w:rFonts w:eastAsiaTheme="minorEastAsia" w:hAnsiTheme="minorEastAsia"/>
          <w:b/>
          <w:kern w:val="0"/>
          <w:sz w:val="36"/>
          <w:szCs w:val="36"/>
        </w:rPr>
        <w:t>年部门</w:t>
      </w:r>
      <w:r w:rsidR="007D7248">
        <w:rPr>
          <w:rFonts w:eastAsiaTheme="minorEastAsia" w:hAnsiTheme="minorEastAsia" w:hint="eastAsia"/>
          <w:b/>
          <w:kern w:val="0"/>
          <w:sz w:val="36"/>
          <w:szCs w:val="36"/>
        </w:rPr>
        <w:t>预算</w:t>
      </w:r>
      <w:r w:rsidR="00154845" w:rsidRPr="001B6768">
        <w:rPr>
          <w:rFonts w:eastAsiaTheme="minorEastAsia" w:hAnsiTheme="minorEastAsia"/>
          <w:b/>
          <w:kern w:val="0"/>
          <w:sz w:val="36"/>
          <w:szCs w:val="36"/>
        </w:rPr>
        <w:t>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B45A46" w:rsidRPr="007D7248" w:rsidRDefault="001B6768" w:rsidP="00B45A46">
      <w:pPr>
        <w:ind w:firstLineChars="150" w:firstLine="480"/>
        <w:rPr>
          <w:rFonts w:ascii="黑体" w:eastAsia="黑体" w:hAnsi="黑体"/>
        </w:rPr>
      </w:pPr>
      <w:r w:rsidRPr="007D7248">
        <w:rPr>
          <w:rFonts w:ascii="黑体" w:eastAsia="黑体" w:hAnsi="黑体" w:hint="eastAsia"/>
          <w:sz w:val="32"/>
          <w:szCs w:val="32"/>
        </w:rPr>
        <w:t>一</w:t>
      </w:r>
      <w:r w:rsidR="00B45A46" w:rsidRPr="007D7248">
        <w:rPr>
          <w:rFonts w:ascii="黑体" w:eastAsia="黑体" w:hAnsi="黑体" w:hint="eastAsia"/>
          <w:sz w:val="32"/>
          <w:szCs w:val="32"/>
        </w:rPr>
        <w:t>、名词解释</w:t>
      </w:r>
    </w:p>
    <w:p w:rsidR="007D15E3" w:rsidRDefault="00B45A46" w:rsidP="007D15E3">
      <w:pPr>
        <w:ind w:firstLineChars="200" w:firstLine="640"/>
        <w:jc w:val="left"/>
        <w:rPr>
          <w:rFonts w:ascii="仿宋_GB2312" w:eastAsia="仿宋_GB2312" w:hAnsi="宋体" w:cs="Arial"/>
          <w:kern w:val="0"/>
          <w:sz w:val="30"/>
          <w:szCs w:val="30"/>
        </w:rPr>
      </w:pPr>
      <w:r>
        <w:rPr>
          <w:rFonts w:eastAsia="方正仿宋_GBK" w:hint="eastAsia"/>
          <w:color w:val="000000"/>
          <w:sz w:val="32"/>
          <w:szCs w:val="32"/>
        </w:rPr>
        <w:t xml:space="preserve">  </w:t>
      </w:r>
      <w:r w:rsidR="007D15E3">
        <w:rPr>
          <w:rFonts w:ascii="仿宋_GB2312" w:eastAsia="仿宋_GB2312" w:hAnsi="黑体" w:cs="方正小标宋简体" w:hint="eastAsia"/>
          <w:sz w:val="30"/>
          <w:szCs w:val="30"/>
        </w:rPr>
        <w:t>1、</w:t>
      </w:r>
      <w:r w:rsidR="007D15E3">
        <w:rPr>
          <w:rFonts w:ascii="仿宋_GB2312" w:eastAsia="仿宋_GB2312" w:hAnsi="宋体" w:cs="Arial" w:hint="eastAsia"/>
          <w:kern w:val="0"/>
          <w:sz w:val="30"/>
          <w:szCs w:val="30"/>
        </w:rPr>
        <w:t>一般公共服务（类）支出反映政府提供一般公共服务支出。</w:t>
      </w:r>
    </w:p>
    <w:p w:rsidR="007D15E3" w:rsidRDefault="007D15E3" w:rsidP="007D15E3">
      <w:pPr>
        <w:ind w:firstLineChars="200" w:firstLine="600"/>
        <w:jc w:val="left"/>
        <w:rPr>
          <w:rFonts w:ascii="仿宋_GB2312" w:eastAsia="仿宋_GB2312" w:hAnsi="宋体" w:cs="Arial"/>
          <w:kern w:val="0"/>
          <w:sz w:val="30"/>
          <w:szCs w:val="30"/>
        </w:rPr>
      </w:pPr>
      <w:r>
        <w:rPr>
          <w:rFonts w:ascii="仿宋_GB2312" w:eastAsia="仿宋_GB2312" w:hAnsi="宋体" w:cs="Arial" w:hint="eastAsia"/>
          <w:kern w:val="0"/>
          <w:sz w:val="30"/>
          <w:szCs w:val="30"/>
        </w:rPr>
        <w:t>⑴、发展与改革事务支出反映发展与改革事务方面支出。</w:t>
      </w:r>
    </w:p>
    <w:p w:rsidR="007D15E3" w:rsidRDefault="007D15E3" w:rsidP="007D15E3">
      <w:pPr>
        <w:ind w:firstLineChars="250" w:firstLine="750"/>
        <w:jc w:val="left"/>
        <w:rPr>
          <w:rFonts w:ascii="仿宋_GB2312" w:eastAsia="仿宋_GB2312" w:hAnsi="宋体" w:cs="Arial"/>
          <w:kern w:val="0"/>
          <w:sz w:val="30"/>
          <w:szCs w:val="30"/>
        </w:rPr>
      </w:pPr>
      <w:r>
        <w:rPr>
          <w:rFonts w:ascii="仿宋_GB2312" w:eastAsia="仿宋_GB2312" w:hAnsi="宋体" w:cs="Arial" w:hint="eastAsia"/>
          <w:kern w:val="0"/>
          <w:sz w:val="30"/>
          <w:szCs w:val="30"/>
        </w:rPr>
        <w:t>行政运行支出反映行政单位（包括实行公务员管理的事业单位）的基本支出。</w:t>
      </w:r>
    </w:p>
    <w:p w:rsidR="007D15E3" w:rsidRDefault="007D15E3" w:rsidP="007D15E3">
      <w:pPr>
        <w:ind w:left="600"/>
        <w:jc w:val="left"/>
        <w:rPr>
          <w:rFonts w:ascii="仿宋_GB2312" w:eastAsia="仿宋_GB2312" w:hAnsi="宋体" w:cs="Arial"/>
          <w:kern w:val="0"/>
          <w:sz w:val="30"/>
          <w:szCs w:val="30"/>
        </w:rPr>
      </w:pPr>
      <w:r>
        <w:rPr>
          <w:rFonts w:ascii="仿宋_GB2312" w:eastAsia="仿宋_GB2312" w:hAnsi="宋体" w:cs="Arial" w:hint="eastAsia"/>
          <w:kern w:val="0"/>
          <w:sz w:val="30"/>
          <w:szCs w:val="30"/>
        </w:rPr>
        <w:t>2.科学技术（类）支出反映科学技术方面的支出。</w:t>
      </w:r>
    </w:p>
    <w:p w:rsidR="007D15E3" w:rsidRDefault="007D15E3" w:rsidP="007D15E3">
      <w:pPr>
        <w:ind w:left="600"/>
        <w:jc w:val="left"/>
        <w:rPr>
          <w:rFonts w:ascii="仿宋_GB2312" w:eastAsia="仿宋_GB2312" w:hAnsi="宋体" w:cs="Arial"/>
          <w:kern w:val="0"/>
          <w:sz w:val="30"/>
          <w:szCs w:val="30"/>
        </w:rPr>
      </w:pPr>
      <w:r>
        <w:rPr>
          <w:rFonts w:ascii="仿宋_GB2312" w:eastAsia="仿宋_GB2312" w:hAnsi="宋体" w:cs="Arial" w:hint="eastAsia"/>
          <w:kern w:val="0"/>
          <w:sz w:val="30"/>
          <w:szCs w:val="30"/>
        </w:rPr>
        <w:t>⑴、科学技术管理事务支出反映各级政府科学技术管理事务方面的支出。</w:t>
      </w:r>
    </w:p>
    <w:p w:rsidR="007D15E3" w:rsidRDefault="007D15E3" w:rsidP="007D15E3">
      <w:pPr>
        <w:ind w:firstLineChars="300" w:firstLine="900"/>
        <w:jc w:val="left"/>
        <w:rPr>
          <w:rFonts w:ascii="仿宋_GB2312" w:eastAsia="仿宋_GB2312" w:hAnsi="宋体" w:cs="Arial"/>
          <w:kern w:val="0"/>
          <w:sz w:val="30"/>
          <w:szCs w:val="30"/>
        </w:rPr>
      </w:pPr>
      <w:r>
        <w:rPr>
          <w:rFonts w:ascii="仿宋_GB2312" w:eastAsia="仿宋_GB2312" w:hAnsi="宋体" w:cs="Arial" w:hint="eastAsia"/>
          <w:kern w:val="0"/>
          <w:sz w:val="30"/>
          <w:szCs w:val="30"/>
        </w:rPr>
        <w:t>行政运行支出反映行政单位（包括实行公务员管理的事业单位）的基本支出。</w:t>
      </w:r>
    </w:p>
    <w:p w:rsidR="007D15E3" w:rsidRDefault="007D15E3" w:rsidP="007D15E3">
      <w:pPr>
        <w:ind w:firstLineChars="250" w:firstLine="750"/>
        <w:jc w:val="left"/>
        <w:rPr>
          <w:rFonts w:ascii="仿宋_GB2312" w:eastAsia="仿宋_GB2312" w:hAnsi="黑体" w:cs="方正小标宋简体"/>
          <w:sz w:val="30"/>
          <w:szCs w:val="30"/>
        </w:rPr>
      </w:pPr>
      <w:r>
        <w:rPr>
          <w:rFonts w:ascii="仿宋_GB2312" w:eastAsia="仿宋_GB2312" w:hAnsi="宋体" w:cs="Arial" w:hint="eastAsia"/>
          <w:kern w:val="0"/>
          <w:sz w:val="30"/>
          <w:szCs w:val="30"/>
        </w:rPr>
        <w:t>其他科学技术管理事务支出反映除上述项目以外的其他用于科学技术管理事务方面的支出。</w:t>
      </w:r>
    </w:p>
    <w:p w:rsidR="007D15E3" w:rsidRDefault="007D15E3" w:rsidP="007D15E3">
      <w:pPr>
        <w:widowControl/>
        <w:snapToGrid w:val="0"/>
        <w:spacing w:before="100" w:after="100" w:line="360" w:lineRule="auto"/>
        <w:ind w:firstLineChars="200" w:firstLine="600"/>
        <w:jc w:val="left"/>
        <w:rPr>
          <w:rFonts w:ascii="仿宋_GB2312" w:eastAsia="仿宋_GB2312" w:hAnsi="宋体" w:cs="Arial"/>
          <w:kern w:val="0"/>
          <w:sz w:val="30"/>
          <w:szCs w:val="30"/>
        </w:rPr>
      </w:pPr>
      <w:r>
        <w:rPr>
          <w:rFonts w:ascii="仿宋_GB2312" w:eastAsia="仿宋_GB2312" w:hAnsi="宋体" w:cs="Arial" w:hint="eastAsia"/>
          <w:kern w:val="0"/>
          <w:sz w:val="30"/>
          <w:szCs w:val="30"/>
        </w:rPr>
        <w:t>3.</w:t>
      </w:r>
      <w:r>
        <w:rPr>
          <w:sz w:val="30"/>
          <w:szCs w:val="30"/>
        </w:rPr>
        <w:t xml:space="preserve"> </w:t>
      </w:r>
      <w:r>
        <w:rPr>
          <w:rFonts w:ascii="仿宋_GB2312" w:eastAsia="仿宋_GB2312" w:hAnsi="宋体" w:cs="Arial" w:hint="eastAsia"/>
          <w:kern w:val="0"/>
          <w:sz w:val="30"/>
          <w:szCs w:val="30"/>
        </w:rPr>
        <w:t>社会保障和就业支出（类）支出</w:t>
      </w:r>
      <w:r>
        <w:rPr>
          <w:rFonts w:ascii="仿宋_GB2312" w:eastAsia="仿宋_GB2312" w:hint="eastAsia"/>
          <w:sz w:val="30"/>
          <w:szCs w:val="30"/>
        </w:rPr>
        <w:t>反映政府在社会保障与就业方面的支出。</w:t>
      </w:r>
    </w:p>
    <w:p w:rsidR="007D15E3" w:rsidRDefault="007D15E3" w:rsidP="007D15E3">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Ansi="宋体" w:cs="Arial" w:hint="eastAsia"/>
          <w:kern w:val="0"/>
          <w:sz w:val="30"/>
          <w:szCs w:val="30"/>
        </w:rPr>
        <w:t>⑴、行政事业单位离退休支出反映用于行政事业单位离退休方面的支出。</w:t>
      </w:r>
    </w:p>
    <w:p w:rsidR="007D15E3" w:rsidRDefault="007D15E3" w:rsidP="007D15E3">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t>归口管理的行政单位离退休支出反映实行归口管理的行政单位（包括实行公务员管理的事业单位）</w:t>
      </w:r>
      <w:bookmarkStart w:id="0" w:name="OLE_LINK2"/>
      <w:bookmarkStart w:id="1" w:name="OLE_LINK1"/>
      <w:r>
        <w:rPr>
          <w:rFonts w:ascii="仿宋_GB2312" w:eastAsia="仿宋_GB2312" w:hint="eastAsia"/>
          <w:sz w:val="30"/>
          <w:szCs w:val="30"/>
        </w:rPr>
        <w:t>开支的离退休经费</w:t>
      </w:r>
      <w:bookmarkEnd w:id="0"/>
      <w:bookmarkEnd w:id="1"/>
      <w:r>
        <w:rPr>
          <w:rFonts w:ascii="仿宋_GB2312" w:eastAsia="仿宋_GB2312" w:hint="eastAsia"/>
          <w:sz w:val="30"/>
          <w:szCs w:val="30"/>
        </w:rPr>
        <w:t>。</w:t>
      </w:r>
    </w:p>
    <w:p w:rsidR="007D15E3" w:rsidRDefault="007D15E3" w:rsidP="007D15E3">
      <w:pPr>
        <w:widowControl/>
        <w:snapToGrid w:val="0"/>
        <w:spacing w:before="100" w:after="100" w:line="360" w:lineRule="auto"/>
        <w:ind w:leftChars="286" w:left="601" w:firstLineChars="100" w:firstLine="300"/>
        <w:jc w:val="left"/>
        <w:rPr>
          <w:rFonts w:ascii="仿宋_GB2312" w:eastAsia="仿宋_GB2312"/>
          <w:sz w:val="30"/>
          <w:szCs w:val="30"/>
        </w:rPr>
      </w:pPr>
      <w:r>
        <w:rPr>
          <w:rFonts w:ascii="仿宋_GB2312" w:eastAsia="仿宋_GB2312" w:hAnsi="宋体" w:cs="Arial" w:hint="eastAsia"/>
          <w:kern w:val="0"/>
          <w:sz w:val="30"/>
          <w:szCs w:val="30"/>
        </w:rPr>
        <w:lastRenderedPageBreak/>
        <w:t>事业单位离退休支出反映</w:t>
      </w:r>
      <w:r>
        <w:rPr>
          <w:rFonts w:ascii="仿宋_GB2312" w:eastAsia="仿宋_GB2312" w:hint="eastAsia"/>
          <w:sz w:val="30"/>
          <w:szCs w:val="30"/>
        </w:rPr>
        <w:t>实行归口管理的事业单位开支的离退休经费。</w:t>
      </w:r>
    </w:p>
    <w:p w:rsidR="00F865FB" w:rsidRPr="00F865FB" w:rsidRDefault="007D15E3" w:rsidP="00F865FB">
      <w:pPr>
        <w:widowControl/>
        <w:snapToGrid w:val="0"/>
        <w:spacing w:before="100" w:after="100" w:line="360" w:lineRule="auto"/>
        <w:ind w:firstLineChars="250" w:firstLine="750"/>
        <w:jc w:val="left"/>
        <w:rPr>
          <w:rFonts w:ascii="仿宋_GB2312" w:eastAsia="仿宋_GB2312" w:hAnsi="宋体" w:cs="Arial"/>
          <w:kern w:val="0"/>
          <w:sz w:val="30"/>
          <w:szCs w:val="30"/>
        </w:rPr>
      </w:pPr>
      <w:r>
        <w:rPr>
          <w:rFonts w:ascii="仿宋_GB2312" w:eastAsia="仿宋_GB2312" w:hAnsi="宋体" w:cs="Arial" w:hint="eastAsia"/>
          <w:kern w:val="0"/>
          <w:sz w:val="30"/>
          <w:szCs w:val="30"/>
        </w:rPr>
        <w:t>机关事业单位基本养老保险缴费支出反映机关事业单位实施养老保险制度由单位缴纳的基本养老保险费支出。</w:t>
      </w:r>
    </w:p>
    <w:p w:rsidR="00F865FB" w:rsidRDefault="007D15E3" w:rsidP="007D15E3">
      <w:pPr>
        <w:widowControl/>
        <w:snapToGrid w:val="0"/>
        <w:spacing w:before="100" w:after="100" w:line="360" w:lineRule="auto"/>
        <w:ind w:firstLineChars="150" w:firstLine="450"/>
        <w:jc w:val="left"/>
        <w:rPr>
          <w:rFonts w:ascii="仿宋_GB2312" w:eastAsia="仿宋_GB2312" w:hAnsi="宋体" w:cs="Arial"/>
          <w:kern w:val="0"/>
          <w:sz w:val="30"/>
          <w:szCs w:val="30"/>
        </w:rPr>
      </w:pPr>
      <w:r>
        <w:rPr>
          <w:rFonts w:ascii="仿宋_GB2312" w:eastAsia="仿宋_GB2312" w:hAnsi="宋体" w:cs="Arial" w:hint="eastAsia"/>
          <w:kern w:val="0"/>
          <w:sz w:val="30"/>
          <w:szCs w:val="30"/>
        </w:rPr>
        <w:t>⑵、</w:t>
      </w:r>
      <w:r w:rsidR="00F865FB">
        <w:rPr>
          <w:rFonts w:ascii="仿宋_GB2312" w:eastAsia="仿宋_GB2312" w:hAnsi="宋体" w:cs="Arial" w:hint="eastAsia"/>
          <w:kern w:val="0"/>
          <w:sz w:val="30"/>
          <w:szCs w:val="30"/>
        </w:rPr>
        <w:t>财政对其他社会保险基金的补助反映财政对其他社会保险基金补助支出。</w:t>
      </w:r>
    </w:p>
    <w:p w:rsidR="00F865FB" w:rsidRDefault="00F865FB" w:rsidP="00F865FB">
      <w:pPr>
        <w:widowControl/>
        <w:snapToGrid w:val="0"/>
        <w:spacing w:before="100" w:after="100" w:line="360" w:lineRule="auto"/>
        <w:ind w:firstLineChars="150" w:firstLine="450"/>
        <w:jc w:val="left"/>
        <w:rPr>
          <w:rFonts w:ascii="仿宋_GB2312" w:eastAsia="仿宋_GB2312" w:hAnsi="宋体" w:cs="Arial"/>
          <w:kern w:val="0"/>
          <w:sz w:val="30"/>
          <w:szCs w:val="30"/>
        </w:rPr>
      </w:pPr>
      <w:r>
        <w:rPr>
          <w:rFonts w:ascii="仿宋_GB2312" w:eastAsia="仿宋_GB2312" w:hAnsi="宋体" w:cs="Arial" w:hint="eastAsia"/>
          <w:kern w:val="0"/>
          <w:sz w:val="30"/>
          <w:szCs w:val="30"/>
        </w:rPr>
        <w:t>财政对失业保险基金的补助反映</w:t>
      </w:r>
      <w:proofErr w:type="gramStart"/>
      <w:r>
        <w:rPr>
          <w:rFonts w:ascii="仿宋_GB2312" w:eastAsia="仿宋_GB2312" w:hAnsi="宋体" w:cs="Arial" w:hint="eastAsia"/>
          <w:kern w:val="0"/>
          <w:sz w:val="30"/>
          <w:szCs w:val="30"/>
        </w:rPr>
        <w:t>助财政</w:t>
      </w:r>
      <w:proofErr w:type="gramEnd"/>
      <w:r>
        <w:rPr>
          <w:rFonts w:ascii="仿宋_GB2312" w:eastAsia="仿宋_GB2312" w:hAnsi="宋体" w:cs="Arial" w:hint="eastAsia"/>
          <w:kern w:val="0"/>
          <w:sz w:val="30"/>
          <w:szCs w:val="30"/>
        </w:rPr>
        <w:t>对失业保险基金的补助支出。</w:t>
      </w:r>
    </w:p>
    <w:p w:rsidR="00F865FB" w:rsidRDefault="00F865FB" w:rsidP="00F865FB">
      <w:pPr>
        <w:widowControl/>
        <w:snapToGrid w:val="0"/>
        <w:spacing w:before="100" w:after="100" w:line="360" w:lineRule="auto"/>
        <w:ind w:firstLineChars="150" w:firstLine="450"/>
        <w:jc w:val="left"/>
        <w:rPr>
          <w:rFonts w:ascii="仿宋_GB2312" w:eastAsia="仿宋_GB2312" w:hAnsi="宋体" w:cs="Arial"/>
          <w:kern w:val="0"/>
          <w:sz w:val="30"/>
          <w:szCs w:val="30"/>
        </w:rPr>
      </w:pPr>
      <w:r>
        <w:rPr>
          <w:rFonts w:ascii="仿宋_GB2312" w:eastAsia="仿宋_GB2312" w:hAnsi="宋体" w:cs="Arial" w:hint="eastAsia"/>
          <w:kern w:val="0"/>
          <w:sz w:val="30"/>
          <w:szCs w:val="30"/>
        </w:rPr>
        <w:t>财政对工伤保险基金的补助反映财政对工伤保险基金的补助支出。</w:t>
      </w:r>
    </w:p>
    <w:p w:rsidR="00F865FB" w:rsidRPr="00F865FB" w:rsidRDefault="00F865FB" w:rsidP="00F865FB">
      <w:pPr>
        <w:widowControl/>
        <w:snapToGrid w:val="0"/>
        <w:spacing w:before="100" w:after="100" w:line="360" w:lineRule="auto"/>
        <w:ind w:firstLineChars="150" w:firstLine="450"/>
        <w:jc w:val="left"/>
        <w:rPr>
          <w:rFonts w:ascii="仿宋_GB2312" w:eastAsia="仿宋_GB2312" w:hAnsi="宋体" w:cs="Arial"/>
          <w:kern w:val="0"/>
          <w:sz w:val="30"/>
          <w:szCs w:val="30"/>
        </w:rPr>
      </w:pPr>
      <w:r>
        <w:rPr>
          <w:rFonts w:ascii="仿宋_GB2312" w:eastAsia="仿宋_GB2312" w:hAnsi="宋体" w:cs="Arial" w:hint="eastAsia"/>
          <w:kern w:val="0"/>
          <w:sz w:val="30"/>
          <w:szCs w:val="30"/>
        </w:rPr>
        <w:t>财政对生育保险基金的补助反映财政对生育保险基金的补助的支出。</w:t>
      </w:r>
    </w:p>
    <w:p w:rsidR="007D15E3" w:rsidRDefault="007D15E3" w:rsidP="00F865FB">
      <w:pPr>
        <w:widowControl/>
        <w:snapToGrid w:val="0"/>
        <w:spacing w:before="100" w:after="100" w:line="360" w:lineRule="auto"/>
        <w:ind w:firstLineChars="150" w:firstLine="450"/>
        <w:jc w:val="left"/>
        <w:rPr>
          <w:rFonts w:ascii="仿宋_GB2312" w:eastAsia="仿宋_GB2312" w:hAnsi="宋体" w:cs="Arial"/>
          <w:kern w:val="0"/>
          <w:sz w:val="30"/>
          <w:szCs w:val="30"/>
        </w:rPr>
      </w:pPr>
      <w:r>
        <w:rPr>
          <w:rFonts w:ascii="仿宋_GB2312" w:eastAsia="仿宋_GB2312" w:hAnsi="宋体" w:cs="Arial" w:hint="eastAsia"/>
          <w:kern w:val="0"/>
          <w:sz w:val="30"/>
          <w:szCs w:val="30"/>
        </w:rPr>
        <w:t>4.医疗卫生与计划生育支出（类）支出反映政府医疗卫生与计划生育方面的支出。</w:t>
      </w:r>
    </w:p>
    <w:p w:rsidR="007D15E3" w:rsidRDefault="007D15E3" w:rsidP="007D15E3">
      <w:pPr>
        <w:widowControl/>
        <w:snapToGrid w:val="0"/>
        <w:spacing w:before="100" w:after="100" w:line="360" w:lineRule="auto"/>
        <w:ind w:firstLineChars="200" w:firstLine="600"/>
        <w:jc w:val="left"/>
        <w:rPr>
          <w:rFonts w:ascii="仿宋_GB2312" w:eastAsia="仿宋_GB2312" w:hAnsi="宋体" w:cs="Arial"/>
          <w:kern w:val="0"/>
          <w:sz w:val="30"/>
          <w:szCs w:val="30"/>
        </w:rPr>
      </w:pPr>
      <w:r>
        <w:rPr>
          <w:rFonts w:ascii="仿宋_GB2312" w:eastAsia="仿宋_GB2312" w:hAnsi="宋体" w:cs="Arial" w:hint="eastAsia"/>
          <w:kern w:val="0"/>
          <w:sz w:val="30"/>
          <w:szCs w:val="30"/>
        </w:rPr>
        <w:t>行政事业单位医疗反映行政事业单位医疗方面的支出。</w:t>
      </w:r>
    </w:p>
    <w:p w:rsidR="007D15E3" w:rsidRDefault="007D15E3" w:rsidP="007D15E3">
      <w:pPr>
        <w:widowControl/>
        <w:snapToGrid w:val="0"/>
        <w:spacing w:before="100" w:after="100" w:line="360" w:lineRule="auto"/>
        <w:ind w:firstLineChars="200" w:firstLine="600"/>
        <w:jc w:val="left"/>
        <w:rPr>
          <w:rFonts w:ascii="仿宋_GB2312" w:eastAsia="仿宋_GB2312" w:hAnsi="宋体" w:cs="Arial"/>
          <w:kern w:val="0"/>
          <w:sz w:val="30"/>
          <w:szCs w:val="30"/>
        </w:rPr>
      </w:pPr>
      <w:r>
        <w:rPr>
          <w:rFonts w:ascii="仿宋_GB2312" w:eastAsia="仿宋_GB2312" w:hAnsi="宋体" w:cs="Arial" w:hint="eastAsia"/>
          <w:kern w:val="0"/>
          <w:sz w:val="30"/>
          <w:szCs w:val="30"/>
        </w:rPr>
        <w:t>行政单位医疗反映财政部门集中安排的行政单位基本医疗保险缴费经费，未参加医疗保险的行政单位的公费医疗经费，按国家规定享受离休人员、红军老战士待遇人员的医疗经费。</w:t>
      </w:r>
    </w:p>
    <w:p w:rsidR="007D15E3" w:rsidRDefault="007D15E3" w:rsidP="007D15E3">
      <w:pPr>
        <w:widowControl/>
        <w:snapToGrid w:val="0"/>
        <w:spacing w:before="100" w:after="100" w:line="360" w:lineRule="auto"/>
        <w:ind w:firstLineChars="200" w:firstLine="600"/>
        <w:jc w:val="left"/>
        <w:rPr>
          <w:rFonts w:ascii="仿宋_GB2312" w:eastAsia="仿宋_GB2312" w:hAnsi="宋体" w:cs="Arial"/>
          <w:kern w:val="0"/>
          <w:sz w:val="30"/>
          <w:szCs w:val="30"/>
        </w:rPr>
      </w:pPr>
      <w:r>
        <w:rPr>
          <w:rFonts w:ascii="仿宋_GB2312" w:eastAsia="仿宋_GB2312" w:hAnsi="宋体" w:cs="Arial" w:hint="eastAsia"/>
          <w:kern w:val="0"/>
          <w:sz w:val="30"/>
          <w:szCs w:val="30"/>
        </w:rPr>
        <w:t>5、住房保障支出（类）支出集中反映政府用于住房方面的支出。</w:t>
      </w:r>
    </w:p>
    <w:p w:rsidR="007D15E3" w:rsidRDefault="007D15E3" w:rsidP="007D15E3">
      <w:pPr>
        <w:widowControl/>
        <w:snapToGrid w:val="0"/>
        <w:spacing w:before="100" w:after="100" w:line="360" w:lineRule="auto"/>
        <w:ind w:firstLineChars="200" w:firstLine="600"/>
        <w:jc w:val="left"/>
        <w:rPr>
          <w:rFonts w:ascii="仿宋_GB2312" w:eastAsia="仿宋_GB2312" w:hAnsi="宋体" w:cs="Arial"/>
          <w:kern w:val="0"/>
          <w:sz w:val="30"/>
          <w:szCs w:val="30"/>
        </w:rPr>
      </w:pPr>
      <w:r>
        <w:rPr>
          <w:rFonts w:ascii="仿宋_GB2312" w:eastAsia="仿宋_GB2312" w:hAnsi="宋体" w:cs="Arial" w:hint="eastAsia"/>
          <w:kern w:val="0"/>
          <w:sz w:val="30"/>
          <w:szCs w:val="30"/>
        </w:rPr>
        <w:t>⑴、住房改革支出反映行政事业单位用财政拨款资金和其他资金等安排的住房改革支出。</w:t>
      </w:r>
    </w:p>
    <w:p w:rsidR="007D15E3" w:rsidRDefault="007D15E3" w:rsidP="007D15E3">
      <w:pPr>
        <w:widowControl/>
        <w:snapToGrid w:val="0"/>
        <w:spacing w:before="100" w:after="100" w:line="360" w:lineRule="auto"/>
        <w:ind w:leftChars="457" w:left="960" w:firstLineChars="100" w:firstLine="300"/>
        <w:jc w:val="left"/>
        <w:rPr>
          <w:rFonts w:ascii="仿宋_GB2312" w:eastAsia="仿宋_GB2312" w:hAnsi="宋体" w:cs="Arial"/>
          <w:kern w:val="0"/>
          <w:sz w:val="30"/>
          <w:szCs w:val="30"/>
        </w:rPr>
      </w:pPr>
      <w:r>
        <w:rPr>
          <w:rFonts w:ascii="仿宋_GB2312" w:eastAsia="仿宋_GB2312" w:hAnsi="宋体" w:cs="Arial" w:hint="eastAsia"/>
          <w:kern w:val="0"/>
          <w:sz w:val="30"/>
          <w:szCs w:val="30"/>
        </w:rPr>
        <w:lastRenderedPageBreak/>
        <w:t>住房公积金支出反映行政事业单位按人力资源和社会保障部、财政部规定的基本工资和津贴补贴以及规定比例为职工缴纳的住房公积金。</w:t>
      </w:r>
    </w:p>
    <w:p w:rsidR="007D15E3" w:rsidRDefault="007D15E3" w:rsidP="007D15E3">
      <w:pPr>
        <w:widowControl/>
        <w:snapToGrid w:val="0"/>
        <w:spacing w:before="100" w:after="100" w:line="360" w:lineRule="auto"/>
        <w:ind w:left="960"/>
        <w:jc w:val="left"/>
        <w:rPr>
          <w:rFonts w:ascii="仿宋_GB2312" w:eastAsia="仿宋_GB2312" w:hAnsi="宋体" w:cs="Arial"/>
          <w:kern w:val="0"/>
          <w:sz w:val="30"/>
          <w:szCs w:val="30"/>
        </w:rPr>
      </w:pPr>
      <w:r>
        <w:rPr>
          <w:rFonts w:ascii="仿宋_GB2312" w:eastAsia="仿宋_GB2312" w:hAnsi="宋体" w:cs="Arial" w:hint="eastAsia"/>
          <w:kern w:val="0"/>
          <w:sz w:val="30"/>
          <w:szCs w:val="30"/>
        </w:rPr>
        <w:t>购房补贴反映按房改政策规定、行政事业单位向符合条件职工（含离退休人员）、军队（含武警）向转役复员离退休人发放的用于购买住房的补贴。</w:t>
      </w:r>
    </w:p>
    <w:p w:rsidR="004518E4" w:rsidRPr="007D15E3" w:rsidRDefault="004518E4" w:rsidP="007D15E3">
      <w:pPr>
        <w:spacing w:line="600" w:lineRule="exact"/>
        <w:rPr>
          <w:rFonts w:eastAsia="方正仿宋_GBK"/>
          <w:color w:val="000000"/>
          <w:sz w:val="32"/>
          <w:szCs w:val="32"/>
        </w:rPr>
      </w:pP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F511D5">
        <w:rPr>
          <w:rFonts w:eastAsia="方正仿宋_GBK" w:hint="eastAsia"/>
          <w:color w:val="000000"/>
          <w:sz w:val="32"/>
          <w:szCs w:val="32"/>
        </w:rPr>
        <w:t>元江哈尼族彝族傣族自治县工业商贸和科技信息局</w:t>
      </w: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201</w:t>
      </w:r>
      <w:r w:rsidR="00D22180">
        <w:rPr>
          <w:rFonts w:eastAsia="方正仿宋_GBK" w:hint="eastAsia"/>
          <w:color w:val="000000"/>
          <w:sz w:val="32"/>
          <w:szCs w:val="32"/>
        </w:rPr>
        <w:t>8</w:t>
      </w:r>
      <w:r>
        <w:rPr>
          <w:rFonts w:eastAsia="方正仿宋_GBK" w:hint="eastAsia"/>
          <w:color w:val="000000"/>
          <w:sz w:val="32"/>
          <w:szCs w:val="32"/>
        </w:rPr>
        <w:t>年</w:t>
      </w:r>
      <w:r w:rsidR="007D7248">
        <w:rPr>
          <w:rFonts w:eastAsia="方正仿宋_GBK" w:hint="eastAsia"/>
          <w:color w:val="000000"/>
          <w:sz w:val="32"/>
          <w:szCs w:val="32"/>
        </w:rPr>
        <w:t>2</w:t>
      </w:r>
      <w:r>
        <w:rPr>
          <w:rFonts w:eastAsia="方正仿宋_GBK" w:hint="eastAsia"/>
          <w:color w:val="000000"/>
          <w:sz w:val="32"/>
          <w:szCs w:val="32"/>
        </w:rPr>
        <w:t>月</w:t>
      </w:r>
      <w:r w:rsidR="001E548A">
        <w:rPr>
          <w:rFonts w:eastAsia="方正仿宋_GBK" w:hint="eastAsia"/>
          <w:color w:val="000000"/>
          <w:sz w:val="32"/>
          <w:szCs w:val="32"/>
        </w:rPr>
        <w:t>15</w:t>
      </w:r>
      <w:bookmarkStart w:id="2" w:name="_GoBack"/>
      <w:bookmarkEnd w:id="2"/>
      <w:r>
        <w:rPr>
          <w:rFonts w:eastAsia="方正仿宋_GBK" w:hint="eastAsia"/>
          <w:color w:val="000000"/>
          <w:sz w:val="32"/>
          <w:szCs w:val="32"/>
        </w:rPr>
        <w:t>日</w:t>
      </w: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96E" w:rsidRDefault="0054596E" w:rsidP="00D22180">
      <w:r>
        <w:separator/>
      </w:r>
    </w:p>
  </w:endnote>
  <w:endnote w:type="continuationSeparator" w:id="0">
    <w:p w:rsidR="0054596E" w:rsidRDefault="0054596E" w:rsidP="00D2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96E" w:rsidRDefault="0054596E" w:rsidP="00D22180">
      <w:r>
        <w:separator/>
      </w:r>
    </w:p>
  </w:footnote>
  <w:footnote w:type="continuationSeparator" w:id="0">
    <w:p w:rsidR="0054596E" w:rsidRDefault="0054596E" w:rsidP="00D22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4455E"/>
    <w:multiLevelType w:val="hybridMultilevel"/>
    <w:tmpl w:val="D97CEBCA"/>
    <w:lvl w:ilvl="0" w:tplc="FFFFFFFF">
      <w:start w:val="2"/>
      <w:numFmt w:val="decimalEnclosedParen"/>
      <w:lvlText w:val="%1"/>
      <w:lvlJc w:val="left"/>
      <w:pPr>
        <w:ind w:left="960" w:hanging="360"/>
      </w:pPr>
    </w:lvl>
    <w:lvl w:ilvl="1" w:tplc="FFFFFFFF">
      <w:start w:val="1"/>
      <w:numFmt w:val="lowerLetter"/>
      <w:lvlText w:val="%2)"/>
      <w:lvlJc w:val="left"/>
      <w:pPr>
        <w:ind w:left="1440" w:hanging="420"/>
      </w:pPr>
    </w:lvl>
    <w:lvl w:ilvl="2" w:tplc="FFFFFFFF">
      <w:start w:val="1"/>
      <w:numFmt w:val="lowerRoman"/>
      <w:lvlText w:val="%3."/>
      <w:lvlJc w:val="right"/>
      <w:pPr>
        <w:ind w:left="1860" w:hanging="420"/>
      </w:pPr>
    </w:lvl>
    <w:lvl w:ilvl="3" w:tplc="FFFFFFFF">
      <w:start w:val="1"/>
      <w:numFmt w:val="decimal"/>
      <w:lvlText w:val="%4."/>
      <w:lvlJc w:val="left"/>
      <w:pPr>
        <w:ind w:left="2280" w:hanging="420"/>
      </w:pPr>
    </w:lvl>
    <w:lvl w:ilvl="4" w:tplc="FFFFFFFF">
      <w:start w:val="1"/>
      <w:numFmt w:val="lowerLetter"/>
      <w:lvlText w:val="%5)"/>
      <w:lvlJc w:val="left"/>
      <w:pPr>
        <w:ind w:left="2700" w:hanging="420"/>
      </w:pPr>
    </w:lvl>
    <w:lvl w:ilvl="5" w:tplc="FFFFFFFF">
      <w:start w:val="1"/>
      <w:numFmt w:val="lowerRoman"/>
      <w:lvlText w:val="%6."/>
      <w:lvlJc w:val="right"/>
      <w:pPr>
        <w:ind w:left="3120" w:hanging="420"/>
      </w:pPr>
    </w:lvl>
    <w:lvl w:ilvl="6" w:tplc="FFFFFFFF">
      <w:start w:val="1"/>
      <w:numFmt w:val="decimal"/>
      <w:lvlText w:val="%7."/>
      <w:lvlJc w:val="left"/>
      <w:pPr>
        <w:ind w:left="3540" w:hanging="420"/>
      </w:pPr>
    </w:lvl>
    <w:lvl w:ilvl="7" w:tplc="FFFFFFFF">
      <w:start w:val="1"/>
      <w:numFmt w:val="lowerLetter"/>
      <w:lvlText w:val="%8)"/>
      <w:lvlJc w:val="left"/>
      <w:pPr>
        <w:ind w:left="3960" w:hanging="420"/>
      </w:pPr>
    </w:lvl>
    <w:lvl w:ilvl="8" w:tplc="FFFFFFFF">
      <w:start w:val="1"/>
      <w:numFmt w:val="lowerRoman"/>
      <w:lvlText w:val="%9."/>
      <w:lvlJc w:val="right"/>
      <w:pPr>
        <w:ind w:left="4380" w:hanging="42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4845"/>
    <w:rsid w:val="00074427"/>
    <w:rsid w:val="00090E9E"/>
    <w:rsid w:val="001122C1"/>
    <w:rsid w:val="00154845"/>
    <w:rsid w:val="00172A9D"/>
    <w:rsid w:val="001B6768"/>
    <w:rsid w:val="001E548A"/>
    <w:rsid w:val="00264123"/>
    <w:rsid w:val="00316EFD"/>
    <w:rsid w:val="00384509"/>
    <w:rsid w:val="00397631"/>
    <w:rsid w:val="00447A4A"/>
    <w:rsid w:val="00450DB0"/>
    <w:rsid w:val="004518E4"/>
    <w:rsid w:val="00452AEA"/>
    <w:rsid w:val="004869D2"/>
    <w:rsid w:val="004A4C54"/>
    <w:rsid w:val="0051768C"/>
    <w:rsid w:val="005417F8"/>
    <w:rsid w:val="0054596E"/>
    <w:rsid w:val="005B0041"/>
    <w:rsid w:val="005C6CC1"/>
    <w:rsid w:val="0063751A"/>
    <w:rsid w:val="006E10E0"/>
    <w:rsid w:val="00704757"/>
    <w:rsid w:val="00726682"/>
    <w:rsid w:val="00736ABF"/>
    <w:rsid w:val="007D15E3"/>
    <w:rsid w:val="007D1ED9"/>
    <w:rsid w:val="007D7248"/>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002B0"/>
    <w:rsid w:val="00D22180"/>
    <w:rsid w:val="00D225BC"/>
    <w:rsid w:val="00D55EF3"/>
    <w:rsid w:val="00D93682"/>
    <w:rsid w:val="00DA49A6"/>
    <w:rsid w:val="00E04870"/>
    <w:rsid w:val="00ED2FF8"/>
    <w:rsid w:val="00F25BC2"/>
    <w:rsid w:val="00F511D5"/>
    <w:rsid w:val="00F8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2180"/>
    <w:rPr>
      <w:rFonts w:ascii="Times New Roman" w:eastAsia="宋体" w:hAnsi="Times New Roman" w:cs="Times New Roman"/>
      <w:sz w:val="18"/>
      <w:szCs w:val="18"/>
    </w:rPr>
  </w:style>
  <w:style w:type="paragraph" w:styleId="a4">
    <w:name w:val="footer"/>
    <w:basedOn w:val="a"/>
    <w:link w:val="Char0"/>
    <w:uiPriority w:val="99"/>
    <w:semiHidden/>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18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9398">
      <w:bodyDiv w:val="1"/>
      <w:marLeft w:val="0"/>
      <w:marRight w:val="0"/>
      <w:marTop w:val="0"/>
      <w:marBottom w:val="0"/>
      <w:divBdr>
        <w:top w:val="none" w:sz="0" w:space="0" w:color="auto"/>
        <w:left w:val="none" w:sz="0" w:space="0" w:color="auto"/>
        <w:bottom w:val="none" w:sz="0" w:space="0" w:color="auto"/>
        <w:right w:val="none" w:sz="0" w:space="0" w:color="auto"/>
      </w:divBdr>
    </w:div>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150</Words>
  <Characters>857</Characters>
  <Application>Microsoft Office Word</Application>
  <DocSecurity>0</DocSecurity>
  <Lines>7</Lines>
  <Paragraphs>2</Paragraphs>
  <ScaleCrop>false</ScaleCrop>
  <Company>Sky123.Org</Company>
  <LinksUpToDate>false</LinksUpToDate>
  <CharactersWithSpaces>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王况忠</cp:lastModifiedBy>
  <cp:revision>5</cp:revision>
  <cp:lastPrinted>2019-01-25T00:02:00Z</cp:lastPrinted>
  <dcterms:created xsi:type="dcterms:W3CDTF">2019-01-26T01:16:00Z</dcterms:created>
  <dcterms:modified xsi:type="dcterms:W3CDTF">2019-01-26T05:01:00Z</dcterms:modified>
</cp:coreProperties>
</file>