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C29" w:rsidRDefault="000A5130">
      <w:pPr>
        <w:jc w:val="center"/>
        <w:rPr>
          <w:rFonts w:asciiTheme="minorEastAsia" w:hAnsiTheme="minorEastAsia"/>
          <w:b/>
          <w:sz w:val="36"/>
          <w:szCs w:val="36"/>
        </w:rPr>
      </w:pPr>
      <w:r>
        <w:rPr>
          <w:rFonts w:asciiTheme="minorEastAsia" w:hAnsiTheme="minorEastAsia" w:hint="eastAsia"/>
          <w:b/>
          <w:sz w:val="36"/>
          <w:szCs w:val="36"/>
        </w:rPr>
        <w:t>元江县委政法委部门决算绩效评价管理情况说明</w:t>
      </w:r>
    </w:p>
    <w:p w:rsidR="00AF2C29" w:rsidRDefault="00AF2C29">
      <w:pPr>
        <w:pStyle w:val="1"/>
        <w:ind w:left="600" w:firstLineChars="100" w:firstLine="300"/>
        <w:rPr>
          <w:sz w:val="30"/>
          <w:szCs w:val="30"/>
        </w:rPr>
      </w:pPr>
    </w:p>
    <w:p w:rsidR="00AF2C29" w:rsidRDefault="000A5130">
      <w:pPr>
        <w:pStyle w:val="1"/>
        <w:ind w:left="600" w:firstLineChars="100" w:firstLine="300"/>
        <w:rPr>
          <w:sz w:val="30"/>
          <w:szCs w:val="30"/>
        </w:rPr>
      </w:pPr>
      <w:r>
        <w:rPr>
          <w:rFonts w:hint="eastAsia"/>
          <w:sz w:val="30"/>
          <w:szCs w:val="30"/>
        </w:rPr>
        <w:t>一、绩效评价工作开展情况</w:t>
      </w:r>
    </w:p>
    <w:p w:rsidR="00AF2C29" w:rsidRDefault="000A5130">
      <w:pPr>
        <w:ind w:firstLineChars="200" w:firstLine="640"/>
        <w:rPr>
          <w:rFonts w:ascii="仿宋" w:eastAsia="仿宋" w:hAnsi="仿宋"/>
          <w:color w:val="000000"/>
          <w:sz w:val="32"/>
        </w:rPr>
      </w:pPr>
      <w:r>
        <w:rPr>
          <w:rFonts w:ascii="仿宋" w:eastAsia="仿宋" w:hAnsi="仿宋" w:hint="eastAsia"/>
          <w:color w:val="000000"/>
          <w:sz w:val="32"/>
        </w:rPr>
        <w:t>为贯彻落实党的十九大关于</w:t>
      </w:r>
      <w:r>
        <w:rPr>
          <w:rFonts w:ascii="仿宋" w:eastAsia="仿宋" w:hAnsi="仿宋"/>
          <w:color w:val="000000"/>
          <w:sz w:val="32"/>
        </w:rPr>
        <w:t>“</w:t>
      </w:r>
      <w:r>
        <w:rPr>
          <w:rFonts w:ascii="仿宋" w:eastAsia="仿宋" w:hAnsi="仿宋" w:hint="eastAsia"/>
          <w:color w:val="000000"/>
          <w:sz w:val="32"/>
        </w:rPr>
        <w:t>全面实施绩效管理</w:t>
      </w:r>
      <w:r>
        <w:rPr>
          <w:rFonts w:ascii="仿宋" w:eastAsia="仿宋" w:hAnsi="仿宋"/>
          <w:color w:val="000000"/>
          <w:sz w:val="32"/>
        </w:rPr>
        <w:t>”</w:t>
      </w:r>
      <w:r>
        <w:rPr>
          <w:rFonts w:ascii="仿宋" w:eastAsia="仿宋" w:hAnsi="仿宋" w:hint="eastAsia"/>
          <w:color w:val="000000"/>
          <w:sz w:val="32"/>
        </w:rPr>
        <w:t>的战略部署，提高财政资源配置效率和使用效益，根据《中华人民共和国预算法》、</w:t>
      </w:r>
      <w:r>
        <w:rPr>
          <w:rFonts w:hint="eastAsia"/>
          <w:sz w:val="30"/>
          <w:szCs w:val="30"/>
        </w:rPr>
        <w:t>《</w:t>
      </w:r>
      <w:r>
        <w:rPr>
          <w:rFonts w:ascii="仿宋" w:eastAsia="仿宋" w:hAnsi="仿宋" w:hint="eastAsia"/>
          <w:color w:val="000000"/>
          <w:sz w:val="32"/>
        </w:rPr>
        <w:t>玉溪市市级财政预算绩效管理暂行办法》要求，元江县政法委在2017年度组织对2017年度一般公共预算项目支出</w:t>
      </w:r>
      <w:r w:rsidR="00FF7693">
        <w:rPr>
          <w:rFonts w:ascii="仿宋" w:eastAsia="仿宋" w:hAnsi="仿宋" w:hint="eastAsia"/>
          <w:color w:val="000000"/>
          <w:sz w:val="32"/>
        </w:rPr>
        <w:t>未</w:t>
      </w:r>
      <w:r>
        <w:rPr>
          <w:rFonts w:ascii="仿宋" w:eastAsia="仿宋" w:hAnsi="仿宋" w:hint="eastAsia"/>
          <w:color w:val="000000"/>
          <w:sz w:val="32"/>
        </w:rPr>
        <w:t>开展绩效自评，部门决算中</w:t>
      </w:r>
      <w:r w:rsidR="00FF7693">
        <w:rPr>
          <w:rFonts w:ascii="仿宋" w:eastAsia="仿宋" w:hAnsi="仿宋" w:hint="eastAsia"/>
          <w:color w:val="000000"/>
          <w:sz w:val="32"/>
        </w:rPr>
        <w:t>未</w:t>
      </w:r>
      <w:r>
        <w:rPr>
          <w:rFonts w:ascii="仿宋" w:eastAsia="仿宋" w:hAnsi="仿宋" w:hint="eastAsia"/>
          <w:color w:val="000000"/>
          <w:sz w:val="32"/>
        </w:rPr>
        <w:t>反映项目绩效自评结果情况。</w:t>
      </w:r>
    </w:p>
    <w:p w:rsidR="00AF2C29" w:rsidRDefault="000A5130">
      <w:pPr>
        <w:numPr>
          <w:ilvl w:val="0"/>
          <w:numId w:val="1"/>
        </w:numPr>
        <w:ind w:firstLineChars="200" w:firstLine="600"/>
        <w:rPr>
          <w:sz w:val="30"/>
          <w:szCs w:val="30"/>
        </w:rPr>
      </w:pPr>
      <w:r>
        <w:rPr>
          <w:rFonts w:hint="eastAsia"/>
          <w:sz w:val="30"/>
          <w:szCs w:val="30"/>
        </w:rPr>
        <w:t>绩效评价结果</w:t>
      </w:r>
    </w:p>
    <w:p w:rsidR="00AF2C29" w:rsidRDefault="00FF7693">
      <w:pPr>
        <w:ind w:firstLineChars="200" w:firstLine="640"/>
        <w:rPr>
          <w:rFonts w:ascii="仿宋" w:eastAsia="仿宋" w:hAnsi="仿宋"/>
          <w:color w:val="000000"/>
          <w:sz w:val="32"/>
        </w:rPr>
      </w:pPr>
      <w:r>
        <w:rPr>
          <w:rFonts w:ascii="仿宋" w:eastAsia="仿宋" w:hAnsi="仿宋" w:hint="eastAsia"/>
          <w:color w:val="000000"/>
          <w:sz w:val="32"/>
        </w:rPr>
        <w:t>根据年初设定的绩效目标</w:t>
      </w:r>
      <w:r w:rsidR="000A5130">
        <w:rPr>
          <w:rFonts w:ascii="仿宋" w:eastAsia="仿宋" w:hAnsi="仿宋" w:hint="eastAsia"/>
          <w:color w:val="000000"/>
          <w:sz w:val="32"/>
        </w:rPr>
        <w:t>。</w:t>
      </w:r>
      <w:r>
        <w:rPr>
          <w:rFonts w:ascii="仿宋" w:eastAsia="仿宋" w:hAnsi="仿宋"/>
          <w:color w:val="000000"/>
          <w:sz w:val="32"/>
        </w:rPr>
        <w:t>2017</w:t>
      </w:r>
      <w:r>
        <w:rPr>
          <w:rFonts w:ascii="仿宋" w:eastAsia="仿宋" w:hAnsi="仿宋" w:hint="eastAsia"/>
          <w:color w:val="000000"/>
          <w:sz w:val="32"/>
        </w:rPr>
        <w:t>年政法委</w:t>
      </w:r>
      <w:r w:rsidR="000A5130">
        <w:rPr>
          <w:rFonts w:ascii="仿宋" w:eastAsia="仿宋" w:hAnsi="仿宋" w:hint="eastAsia"/>
          <w:color w:val="000000"/>
          <w:sz w:val="32"/>
        </w:rPr>
        <w:t>全年</w:t>
      </w:r>
      <w:r>
        <w:rPr>
          <w:rFonts w:ascii="仿宋" w:eastAsia="仿宋" w:hAnsi="仿宋" w:hint="eastAsia"/>
          <w:color w:val="000000"/>
          <w:sz w:val="32"/>
        </w:rPr>
        <w:t>项目</w:t>
      </w:r>
      <w:r w:rsidR="000A5130">
        <w:rPr>
          <w:rFonts w:ascii="仿宋" w:eastAsia="仿宋" w:hAnsi="仿宋" w:hint="eastAsia"/>
          <w:color w:val="000000"/>
          <w:sz w:val="32"/>
        </w:rPr>
        <w:t>预算数为407.52万元，执行数为407.37 万元，完成预算的100 %。主要产出和效果：通过项目实施，有效保障了国库集中支付业务和政府采购代理机构监督检查工作的顺利开展。</w:t>
      </w:r>
    </w:p>
    <w:p w:rsidR="00AF2C29" w:rsidRDefault="000A5130">
      <w:pPr>
        <w:ind w:firstLineChars="200" w:firstLine="640"/>
        <w:rPr>
          <w:rFonts w:ascii="仿宋" w:eastAsia="仿宋" w:hAnsi="仿宋"/>
          <w:color w:val="000000"/>
          <w:sz w:val="32"/>
        </w:rPr>
      </w:pPr>
      <w:r>
        <w:rPr>
          <w:rFonts w:ascii="仿宋" w:eastAsia="仿宋" w:hAnsi="仿宋" w:hint="eastAsia"/>
          <w:color w:val="000000"/>
          <w:sz w:val="32"/>
        </w:rPr>
        <w:t>下一步改进措施：根据项目资金使用情况，及时调整预算。在设定量化细化的绩效目标时，更加科学合理的设置绩效指标年度指标值，项目预算执行及时、有效，绩效目标得到较好实现，绩效管理水平不断提高，绩效指标体系建设逐渐丰富和完善，真正发挥绩效管理的作用。</w:t>
      </w:r>
    </w:p>
    <w:p w:rsidR="00AF2C29" w:rsidRDefault="00AF2C29">
      <w:pPr>
        <w:ind w:firstLineChars="200" w:firstLine="640"/>
        <w:rPr>
          <w:rFonts w:ascii="仿宋" w:eastAsia="仿宋" w:hAnsi="仿宋"/>
          <w:color w:val="000000"/>
          <w:sz w:val="32"/>
        </w:rPr>
      </w:pPr>
    </w:p>
    <w:tbl>
      <w:tblPr>
        <w:tblW w:w="20298" w:type="dxa"/>
        <w:tblLayout w:type="fixed"/>
        <w:tblCellMar>
          <w:top w:w="15" w:type="dxa"/>
          <w:left w:w="15" w:type="dxa"/>
          <w:bottom w:w="15" w:type="dxa"/>
          <w:right w:w="15" w:type="dxa"/>
        </w:tblCellMar>
        <w:tblLook w:val="04A0"/>
      </w:tblPr>
      <w:tblGrid>
        <w:gridCol w:w="1080"/>
        <w:gridCol w:w="1354"/>
        <w:gridCol w:w="1354"/>
        <w:gridCol w:w="790"/>
        <w:gridCol w:w="580"/>
        <w:gridCol w:w="2075"/>
        <w:gridCol w:w="955"/>
        <w:gridCol w:w="2430"/>
        <w:gridCol w:w="2420"/>
        <w:gridCol w:w="2420"/>
        <w:gridCol w:w="2420"/>
        <w:gridCol w:w="2420"/>
      </w:tblGrid>
      <w:tr w:rsidR="00AF2C29">
        <w:trPr>
          <w:trHeight w:val="405"/>
        </w:trPr>
        <w:tc>
          <w:tcPr>
            <w:tcW w:w="10618" w:type="dxa"/>
            <w:gridSpan w:val="8"/>
            <w:shd w:val="clear" w:color="auto" w:fill="auto"/>
            <w:vAlign w:val="center"/>
          </w:tcPr>
          <w:p w:rsidR="00AF2C29" w:rsidRDefault="00AF2C29">
            <w:pPr>
              <w:widowControl/>
              <w:textAlignment w:val="center"/>
              <w:rPr>
                <w:rFonts w:ascii="仿宋_GB2312" w:eastAsia="仿宋_GB2312" w:hAnsi="宋体" w:cs="仿宋_GB2312"/>
                <w:b/>
                <w:color w:val="000000"/>
                <w:kern w:val="0"/>
                <w:sz w:val="32"/>
                <w:szCs w:val="32"/>
              </w:rPr>
            </w:pPr>
          </w:p>
          <w:p w:rsidR="0036286E" w:rsidRDefault="0036286E">
            <w:pPr>
              <w:widowControl/>
              <w:ind w:firstLineChars="400" w:firstLine="1285"/>
              <w:textAlignment w:val="center"/>
              <w:rPr>
                <w:rFonts w:ascii="仿宋_GB2312" w:eastAsia="仿宋_GB2312" w:hAnsi="宋体" w:cs="仿宋_GB2312"/>
                <w:b/>
                <w:color w:val="000000"/>
                <w:kern w:val="0"/>
                <w:sz w:val="32"/>
                <w:szCs w:val="32"/>
              </w:rPr>
            </w:pPr>
          </w:p>
          <w:p w:rsidR="00AF2C29" w:rsidRDefault="000A5130">
            <w:pPr>
              <w:widowControl/>
              <w:ind w:firstLineChars="400" w:firstLine="1285"/>
              <w:textAlignment w:val="center"/>
              <w:rPr>
                <w:rFonts w:ascii="仿宋_GB2312" w:eastAsia="仿宋_GB2312" w:hAnsi="宋体" w:cs="仿宋_GB2312"/>
                <w:b/>
                <w:color w:val="000000"/>
                <w:sz w:val="32"/>
                <w:szCs w:val="32"/>
              </w:rPr>
            </w:pPr>
            <w:r>
              <w:rPr>
                <w:rFonts w:ascii="仿宋_GB2312" w:eastAsia="仿宋_GB2312" w:hAnsi="宋体" w:cs="仿宋_GB2312" w:hint="eastAsia"/>
                <w:b/>
                <w:color w:val="000000"/>
                <w:kern w:val="0"/>
                <w:sz w:val="32"/>
                <w:szCs w:val="32"/>
              </w:rPr>
              <w:lastRenderedPageBreak/>
              <w:t>县级部门项目支出绩效评价结果信息公开</w:t>
            </w:r>
          </w:p>
        </w:tc>
        <w:tc>
          <w:tcPr>
            <w:tcW w:w="2420" w:type="dxa"/>
            <w:shd w:val="clear" w:color="auto" w:fill="auto"/>
            <w:vAlign w:val="center"/>
          </w:tcPr>
          <w:p w:rsidR="00AF2C29" w:rsidRDefault="00AF2C29">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AF2C29" w:rsidRDefault="00AF2C29">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AF2C29" w:rsidRDefault="00AF2C29">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AF2C29" w:rsidRDefault="00AF2C29">
            <w:pPr>
              <w:widowControl/>
              <w:textAlignment w:val="center"/>
              <w:rPr>
                <w:rFonts w:ascii="仿宋_GB2312" w:eastAsia="仿宋_GB2312" w:hAnsi="宋体" w:cs="仿宋_GB2312"/>
                <w:b/>
                <w:color w:val="000000"/>
                <w:kern w:val="0"/>
                <w:sz w:val="32"/>
                <w:szCs w:val="32"/>
              </w:rPr>
            </w:pPr>
          </w:p>
        </w:tc>
      </w:tr>
      <w:tr w:rsidR="00AF2C29">
        <w:trPr>
          <w:trHeight w:val="286"/>
        </w:trPr>
        <w:tc>
          <w:tcPr>
            <w:tcW w:w="1080" w:type="dxa"/>
            <w:shd w:val="clear" w:color="auto" w:fill="auto"/>
            <w:vAlign w:val="center"/>
          </w:tcPr>
          <w:p w:rsidR="00AF2C29" w:rsidRDefault="00AF2C29">
            <w:pPr>
              <w:rPr>
                <w:rFonts w:ascii="宋体" w:eastAsia="宋体" w:hAnsi="宋体" w:cs="宋体"/>
                <w:color w:val="000000"/>
                <w:sz w:val="24"/>
                <w:szCs w:val="24"/>
              </w:rPr>
            </w:pPr>
          </w:p>
        </w:tc>
        <w:tc>
          <w:tcPr>
            <w:tcW w:w="1354" w:type="dxa"/>
            <w:shd w:val="clear" w:color="auto" w:fill="auto"/>
            <w:vAlign w:val="center"/>
          </w:tcPr>
          <w:p w:rsidR="00AF2C29" w:rsidRDefault="00AF2C29">
            <w:pPr>
              <w:rPr>
                <w:rFonts w:ascii="宋体" w:eastAsia="宋体" w:hAnsi="宋体" w:cs="宋体"/>
                <w:color w:val="000000"/>
                <w:sz w:val="24"/>
                <w:szCs w:val="24"/>
              </w:rPr>
            </w:pPr>
          </w:p>
        </w:tc>
        <w:tc>
          <w:tcPr>
            <w:tcW w:w="1354" w:type="dxa"/>
            <w:shd w:val="clear" w:color="auto" w:fill="auto"/>
            <w:vAlign w:val="center"/>
          </w:tcPr>
          <w:p w:rsidR="00AF2C29" w:rsidRDefault="00AF2C29">
            <w:pPr>
              <w:rPr>
                <w:rFonts w:ascii="宋体" w:eastAsia="宋体" w:hAnsi="宋体" w:cs="宋体"/>
                <w:color w:val="000000"/>
                <w:sz w:val="24"/>
                <w:szCs w:val="24"/>
              </w:rPr>
            </w:pPr>
          </w:p>
        </w:tc>
        <w:tc>
          <w:tcPr>
            <w:tcW w:w="1370" w:type="dxa"/>
            <w:gridSpan w:val="2"/>
            <w:shd w:val="clear" w:color="auto" w:fill="auto"/>
            <w:vAlign w:val="center"/>
          </w:tcPr>
          <w:p w:rsidR="00AF2C29" w:rsidRDefault="00AF2C29">
            <w:pPr>
              <w:rPr>
                <w:rFonts w:ascii="宋体" w:eastAsia="宋体" w:hAnsi="宋体" w:cs="宋体"/>
                <w:color w:val="000000"/>
                <w:sz w:val="24"/>
                <w:szCs w:val="24"/>
              </w:rPr>
            </w:pPr>
          </w:p>
        </w:tc>
        <w:tc>
          <w:tcPr>
            <w:tcW w:w="3030" w:type="dxa"/>
            <w:gridSpan w:val="2"/>
            <w:shd w:val="clear" w:color="auto" w:fill="auto"/>
            <w:vAlign w:val="center"/>
          </w:tcPr>
          <w:p w:rsidR="00AF2C29" w:rsidRDefault="00AF2C29">
            <w:pPr>
              <w:rPr>
                <w:rFonts w:ascii="宋体" w:eastAsia="宋体" w:hAnsi="宋体" w:cs="宋体"/>
                <w:color w:val="000000"/>
                <w:sz w:val="24"/>
                <w:szCs w:val="24"/>
              </w:rPr>
            </w:pPr>
          </w:p>
        </w:tc>
        <w:tc>
          <w:tcPr>
            <w:tcW w:w="2430" w:type="dxa"/>
            <w:shd w:val="clear" w:color="auto" w:fill="auto"/>
            <w:vAlign w:val="center"/>
          </w:tcPr>
          <w:p w:rsidR="00AF2C29" w:rsidRDefault="00AF2C29">
            <w:pPr>
              <w:rPr>
                <w:rFonts w:ascii="宋体" w:eastAsia="宋体" w:hAnsi="宋体" w:cs="宋体"/>
                <w:color w:val="000000"/>
                <w:sz w:val="24"/>
                <w:szCs w:val="24"/>
              </w:rPr>
            </w:pPr>
          </w:p>
        </w:tc>
        <w:tc>
          <w:tcPr>
            <w:tcW w:w="2420" w:type="dxa"/>
            <w:shd w:val="clear" w:color="auto" w:fill="auto"/>
            <w:vAlign w:val="center"/>
          </w:tcPr>
          <w:p w:rsidR="00AF2C29" w:rsidRDefault="00AF2C29">
            <w:pPr>
              <w:rPr>
                <w:rFonts w:ascii="宋体" w:eastAsia="宋体" w:hAnsi="宋体" w:cs="宋体"/>
                <w:color w:val="000000"/>
                <w:sz w:val="24"/>
                <w:szCs w:val="24"/>
              </w:rPr>
            </w:pPr>
          </w:p>
        </w:tc>
        <w:tc>
          <w:tcPr>
            <w:tcW w:w="2420" w:type="dxa"/>
            <w:shd w:val="clear" w:color="auto" w:fill="auto"/>
            <w:vAlign w:val="center"/>
          </w:tcPr>
          <w:p w:rsidR="00AF2C29" w:rsidRDefault="00AF2C29">
            <w:pPr>
              <w:rPr>
                <w:rFonts w:ascii="宋体" w:eastAsia="宋体" w:hAnsi="宋体" w:cs="宋体"/>
                <w:color w:val="000000"/>
                <w:sz w:val="24"/>
                <w:szCs w:val="24"/>
              </w:rPr>
            </w:pPr>
          </w:p>
        </w:tc>
        <w:tc>
          <w:tcPr>
            <w:tcW w:w="2420" w:type="dxa"/>
            <w:shd w:val="clear" w:color="auto" w:fill="auto"/>
            <w:vAlign w:val="center"/>
          </w:tcPr>
          <w:p w:rsidR="00AF2C29" w:rsidRDefault="00AF2C29">
            <w:pPr>
              <w:rPr>
                <w:rFonts w:ascii="宋体" w:eastAsia="宋体" w:hAnsi="宋体" w:cs="宋体"/>
                <w:color w:val="000000"/>
                <w:sz w:val="24"/>
                <w:szCs w:val="24"/>
              </w:rPr>
            </w:pPr>
          </w:p>
        </w:tc>
        <w:tc>
          <w:tcPr>
            <w:tcW w:w="2420" w:type="dxa"/>
            <w:shd w:val="clear" w:color="auto" w:fill="auto"/>
            <w:vAlign w:val="center"/>
          </w:tcPr>
          <w:p w:rsidR="00AF2C29" w:rsidRDefault="00AF2C29">
            <w:pPr>
              <w:rPr>
                <w:rFonts w:ascii="宋体" w:eastAsia="宋体" w:hAnsi="宋体" w:cs="宋体"/>
                <w:color w:val="000000"/>
                <w:sz w:val="24"/>
                <w:szCs w:val="24"/>
              </w:rPr>
            </w:pPr>
          </w:p>
        </w:tc>
      </w:tr>
      <w:tr w:rsidR="00AF2C29">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项目名称（全称）</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sz w:val="24"/>
                <w:szCs w:val="24"/>
              </w:rPr>
              <w:t>综治办主任、治保主任、调解主任以奖代补经费</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仿宋_GB2312" w:eastAsia="仿宋_GB2312" w:hAnsi="宋体" w:cs="仿宋_GB2312"/>
                <w:color w:val="000000"/>
                <w:kern w:val="0"/>
                <w:sz w:val="24"/>
                <w:szCs w:val="24"/>
              </w:rPr>
            </w:pPr>
          </w:p>
        </w:tc>
      </w:tr>
      <w:tr w:rsidR="00AF2C29">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预算单位</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sz w:val="24"/>
                <w:szCs w:val="24"/>
              </w:rPr>
              <w:t>元江县委政法委</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仿宋_GB2312" w:eastAsia="仿宋_GB2312" w:hAnsi="宋体" w:cs="仿宋_GB2312"/>
                <w:color w:val="000000"/>
                <w:kern w:val="0"/>
                <w:sz w:val="24"/>
                <w:szCs w:val="24"/>
              </w:rPr>
            </w:pPr>
          </w:p>
        </w:tc>
      </w:tr>
      <w:tr w:rsidR="00AF2C29">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预算主管部门</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sz w:val="24"/>
                <w:szCs w:val="24"/>
              </w:rPr>
              <w:t>元江县委政法委</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仿宋_GB2312" w:eastAsia="仿宋_GB2312" w:hAnsi="宋体" w:cs="仿宋_GB2312"/>
                <w:color w:val="000000"/>
                <w:kern w:val="0"/>
                <w:sz w:val="24"/>
                <w:szCs w:val="24"/>
              </w:rPr>
            </w:pPr>
          </w:p>
        </w:tc>
      </w:tr>
      <w:tr w:rsidR="00AF2C29">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项目所属年度</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sz w:val="24"/>
                <w:szCs w:val="24"/>
              </w:rPr>
              <w:t>2017年</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仿宋_GB2312" w:eastAsia="仿宋_GB2312" w:hAnsi="宋体" w:cs="仿宋_GB2312"/>
                <w:color w:val="000000"/>
                <w:kern w:val="0"/>
                <w:sz w:val="24"/>
                <w:szCs w:val="24"/>
              </w:rPr>
            </w:pPr>
          </w:p>
        </w:tc>
      </w:tr>
      <w:tr w:rsidR="00AF2C29">
        <w:trPr>
          <w:trHeight w:val="61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项目预算安排（万元）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655A8B">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color w:val="000000"/>
                <w:sz w:val="24"/>
                <w:szCs w:val="24"/>
              </w:rPr>
              <w:t>6</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仿宋_GB2312" w:eastAsia="仿宋_GB2312" w:hAnsi="宋体" w:cs="仿宋_GB2312"/>
                <w:color w:val="000000"/>
                <w:kern w:val="0"/>
                <w:sz w:val="24"/>
                <w:szCs w:val="24"/>
              </w:rPr>
            </w:pPr>
          </w:p>
        </w:tc>
      </w:tr>
      <w:tr w:rsidR="00AF2C29">
        <w:trPr>
          <w:trHeight w:val="55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项目实际支出（万元）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sz w:val="24"/>
                <w:szCs w:val="24"/>
              </w:rPr>
              <w:t>17.52</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仿宋_GB2312" w:eastAsia="仿宋_GB2312" w:hAnsi="宋体" w:cs="仿宋_GB2312"/>
                <w:color w:val="000000"/>
                <w:kern w:val="0"/>
                <w:sz w:val="24"/>
                <w:szCs w:val="24"/>
              </w:rPr>
            </w:pPr>
          </w:p>
        </w:tc>
      </w:tr>
      <w:tr w:rsidR="00AF2C29">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项目评价类型</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jc w:val="center"/>
              <w:rPr>
                <w:rFonts w:ascii="仿宋_GB2312" w:eastAsia="仿宋_GB2312" w:hAnsi="宋体" w:cs="仿宋_GB2312"/>
                <w:color w:val="000000"/>
                <w:sz w:val="24"/>
                <w:szCs w:val="24"/>
              </w:rPr>
            </w:pPr>
          </w:p>
        </w:tc>
      </w:tr>
      <w:tr w:rsidR="00AF2C29">
        <w:trPr>
          <w:trHeight w:val="512"/>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项目评价结果</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jc w:val="center"/>
              <w:rPr>
                <w:rFonts w:ascii="仿宋_GB2312" w:eastAsia="仿宋_GB2312" w:hAnsi="宋体" w:cs="仿宋_GB2312"/>
                <w:color w:val="000000"/>
                <w:sz w:val="24"/>
                <w:szCs w:val="24"/>
              </w:rPr>
            </w:pPr>
          </w:p>
        </w:tc>
      </w:tr>
      <w:tr w:rsidR="00AF2C29">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rsidP="00655A8B">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一、主要绩效目标完成情况：该项目的产出指标和效益指标的实际值基本达到了预期目标。</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textAlignment w:val="center"/>
              <w:rPr>
                <w:rFonts w:ascii="宋体" w:eastAsia="宋体" w:hAnsi="宋体" w:cs="宋体"/>
                <w:color w:val="000000"/>
                <w:kern w:val="0"/>
                <w:sz w:val="24"/>
                <w:szCs w:val="24"/>
              </w:rPr>
            </w:pPr>
          </w:p>
        </w:tc>
      </w:tr>
      <w:tr w:rsidR="00AF2C29">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评价指标</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预期绩效指标（内容和值）</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指标完成情况</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差异说明</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宋体" w:eastAsia="宋体" w:hAnsi="宋体" w:cs="宋体"/>
                <w:color w:val="000000"/>
                <w:kern w:val="0"/>
                <w:sz w:val="24"/>
                <w:szCs w:val="24"/>
              </w:rPr>
            </w:pPr>
          </w:p>
        </w:tc>
      </w:tr>
      <w:tr w:rsidR="00AF2C29">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项目产出</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rsidP="00655A8B">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充分发挥县、乡镇（街道）、村（社区）、组四级矛盾纠纷大调解平台，深入开展矛盾纠纷排查调处工作</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pPr>
              <w:rPr>
                <w:rFonts w:ascii="仿宋_GB2312" w:eastAsia="仿宋_GB2312" w:hAnsi="宋体" w:cs="仿宋_GB2312"/>
                <w:color w:val="000000"/>
                <w:sz w:val="20"/>
                <w:szCs w:val="20"/>
              </w:rPr>
            </w:pPr>
            <w:r>
              <w:rPr>
                <w:rFonts w:ascii="仿宋_GB2312" w:eastAsia="仿宋_GB2312" w:hAnsi="宋体" w:cs="仿宋_GB2312"/>
                <w:color w:val="000000"/>
                <w:sz w:val="20"/>
                <w:szCs w:val="20"/>
              </w:rPr>
              <w:t>2017</w:t>
            </w:r>
            <w:r>
              <w:rPr>
                <w:rFonts w:ascii="仿宋_GB2312" w:eastAsia="仿宋_GB2312" w:hAnsi="宋体" w:cs="仿宋_GB2312" w:hint="eastAsia"/>
                <w:color w:val="000000"/>
                <w:sz w:val="20"/>
                <w:szCs w:val="20"/>
              </w:rPr>
              <w:t>年，全县共开展矛盾纠纷排查</w:t>
            </w:r>
            <w:r>
              <w:rPr>
                <w:rFonts w:ascii="仿宋_GB2312" w:eastAsia="仿宋_GB2312" w:hAnsi="宋体" w:cs="仿宋_GB2312"/>
                <w:color w:val="000000"/>
                <w:sz w:val="20"/>
                <w:szCs w:val="20"/>
              </w:rPr>
              <w:t>238</w:t>
            </w:r>
            <w:r>
              <w:rPr>
                <w:rFonts w:ascii="仿宋_GB2312" w:eastAsia="仿宋_GB2312" w:hAnsi="宋体" w:cs="仿宋_GB2312" w:hint="eastAsia"/>
                <w:color w:val="000000"/>
                <w:sz w:val="20"/>
                <w:szCs w:val="20"/>
              </w:rPr>
              <w:t>次，排查出各类社会矛盾纠纷</w:t>
            </w:r>
            <w:r>
              <w:rPr>
                <w:rFonts w:ascii="仿宋_GB2312" w:eastAsia="仿宋_GB2312" w:hAnsi="宋体" w:cs="仿宋_GB2312"/>
                <w:color w:val="000000"/>
                <w:sz w:val="20"/>
                <w:szCs w:val="20"/>
              </w:rPr>
              <w:t>3124</w:t>
            </w:r>
            <w:r>
              <w:rPr>
                <w:rFonts w:ascii="仿宋_GB2312" w:eastAsia="仿宋_GB2312" w:hAnsi="宋体" w:cs="仿宋_GB2312" w:hint="eastAsia"/>
                <w:color w:val="000000"/>
                <w:sz w:val="20"/>
                <w:szCs w:val="20"/>
              </w:rPr>
              <w:t>件，其中重点矛盾纠纷</w:t>
            </w:r>
            <w:r>
              <w:rPr>
                <w:rFonts w:ascii="仿宋_GB2312" w:eastAsia="仿宋_GB2312" w:hAnsi="宋体" w:cs="仿宋_GB2312"/>
                <w:color w:val="000000"/>
                <w:sz w:val="20"/>
                <w:szCs w:val="20"/>
              </w:rPr>
              <w:t>56</w:t>
            </w:r>
            <w:r>
              <w:rPr>
                <w:rFonts w:ascii="仿宋_GB2312" w:eastAsia="仿宋_GB2312" w:hAnsi="宋体" w:cs="仿宋_GB2312" w:hint="eastAsia"/>
                <w:color w:val="000000"/>
                <w:sz w:val="20"/>
                <w:szCs w:val="20"/>
              </w:rPr>
              <w:t>件，调解成功</w:t>
            </w:r>
            <w:r>
              <w:rPr>
                <w:rFonts w:ascii="仿宋_GB2312" w:eastAsia="仿宋_GB2312" w:hAnsi="宋体" w:cs="仿宋_GB2312"/>
                <w:color w:val="000000"/>
                <w:sz w:val="20"/>
                <w:szCs w:val="20"/>
              </w:rPr>
              <w:t>3019</w:t>
            </w:r>
            <w:r>
              <w:rPr>
                <w:rFonts w:ascii="仿宋_GB2312" w:eastAsia="仿宋_GB2312" w:hAnsi="宋体" w:cs="仿宋_GB2312" w:hint="eastAsia"/>
                <w:color w:val="000000"/>
                <w:sz w:val="20"/>
                <w:szCs w:val="20"/>
              </w:rPr>
              <w:t>件，调解成功率</w:t>
            </w:r>
            <w:r>
              <w:rPr>
                <w:rFonts w:ascii="仿宋_GB2312" w:eastAsia="仿宋_GB2312" w:hAnsi="宋体" w:cs="仿宋_GB2312"/>
                <w:color w:val="000000"/>
                <w:sz w:val="20"/>
                <w:szCs w:val="20"/>
              </w:rPr>
              <w:t>96.6%</w:t>
            </w:r>
            <w:r>
              <w:rPr>
                <w:rFonts w:ascii="仿宋_GB2312" w:eastAsia="仿宋_GB2312" w:hAnsi="宋体" w:cs="仿宋_GB2312" w:hint="eastAsia"/>
                <w:color w:val="000000"/>
                <w:sz w:val="20"/>
                <w:szCs w:val="20"/>
              </w:rPr>
              <w:t>，未发生“民转刑”案件，调解其余的矛盾纠纷正在积极调处中，防止群体性上访</w:t>
            </w:r>
            <w:r>
              <w:rPr>
                <w:rFonts w:ascii="仿宋_GB2312" w:eastAsia="仿宋_GB2312" w:hAnsi="宋体" w:cs="仿宋_GB2312"/>
                <w:color w:val="000000"/>
                <w:sz w:val="20"/>
                <w:szCs w:val="20"/>
              </w:rPr>
              <w:t>31</w:t>
            </w:r>
            <w:r>
              <w:rPr>
                <w:rFonts w:ascii="仿宋_GB2312" w:eastAsia="仿宋_GB2312" w:hAnsi="宋体" w:cs="仿宋_GB2312" w:hint="eastAsia"/>
                <w:color w:val="000000"/>
                <w:sz w:val="20"/>
                <w:szCs w:val="20"/>
              </w:rPr>
              <w:t>件</w:t>
            </w:r>
            <w:r>
              <w:rPr>
                <w:rFonts w:ascii="仿宋_GB2312" w:eastAsia="仿宋_GB2312" w:hAnsi="宋体" w:cs="仿宋_GB2312"/>
                <w:color w:val="000000"/>
                <w:sz w:val="20"/>
                <w:szCs w:val="20"/>
              </w:rPr>
              <w:t>5341</w:t>
            </w:r>
            <w:r>
              <w:rPr>
                <w:rFonts w:ascii="仿宋_GB2312" w:eastAsia="仿宋_GB2312" w:hAnsi="宋体" w:cs="仿宋_GB2312" w:hint="eastAsia"/>
                <w:color w:val="000000"/>
                <w:sz w:val="20"/>
                <w:szCs w:val="20"/>
              </w:rPr>
              <w:t>人次。</w:t>
            </w:r>
          </w:p>
          <w:p w:rsidR="00AF2C29" w:rsidRDefault="00AF2C29">
            <w:pPr>
              <w:widowControl/>
              <w:jc w:val="left"/>
              <w:textAlignment w:val="center"/>
              <w:rPr>
                <w:rFonts w:ascii="仿宋_GB2312" w:eastAsia="仿宋_GB2312" w:hAnsi="宋体" w:cs="仿宋_GB2312"/>
                <w:color w:val="000000"/>
                <w:sz w:val="20"/>
                <w:szCs w:val="20"/>
              </w:rPr>
            </w:pP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r>
      <w:tr w:rsidR="00AF2C29">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为我县</w:t>
            </w:r>
            <w:r>
              <w:rPr>
                <w:rFonts w:ascii="仿宋_GB2312" w:eastAsia="仿宋_GB2312" w:hAnsi="宋体" w:cs="仿宋_GB2312"/>
                <w:color w:val="000000"/>
                <w:sz w:val="20"/>
                <w:szCs w:val="20"/>
              </w:rPr>
              <w:t>81</w:t>
            </w:r>
            <w:r>
              <w:rPr>
                <w:rFonts w:ascii="仿宋_GB2312" w:eastAsia="仿宋_GB2312" w:hAnsi="宋体" w:cs="仿宋_GB2312" w:hint="eastAsia"/>
                <w:color w:val="000000"/>
                <w:sz w:val="20"/>
                <w:szCs w:val="20"/>
              </w:rPr>
              <w:t>个基层治保会治保委员提高工资待遇，购买人身意外伤害保险，补贴通讯费并按需提供装备保障。</w:t>
            </w:r>
          </w:p>
          <w:p w:rsidR="00AF2C29" w:rsidRDefault="00AF2C29">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从</w:t>
            </w:r>
            <w:r>
              <w:rPr>
                <w:rFonts w:ascii="仿宋_GB2312" w:eastAsia="仿宋_GB2312" w:hAnsi="宋体" w:cs="仿宋_GB2312"/>
                <w:color w:val="000000"/>
                <w:sz w:val="20"/>
                <w:szCs w:val="20"/>
              </w:rPr>
              <w:t>2017</w:t>
            </w:r>
            <w:r>
              <w:rPr>
                <w:rFonts w:ascii="仿宋_GB2312" w:eastAsia="仿宋_GB2312" w:hAnsi="宋体" w:cs="仿宋_GB2312" w:hint="eastAsia"/>
                <w:color w:val="000000"/>
                <w:sz w:val="20"/>
                <w:szCs w:val="20"/>
              </w:rPr>
              <w:t>年</w:t>
            </w:r>
            <w:r>
              <w:rPr>
                <w:rFonts w:ascii="仿宋_GB2312" w:eastAsia="仿宋_GB2312" w:hAnsi="宋体" w:cs="仿宋_GB2312"/>
                <w:color w:val="000000"/>
                <w:sz w:val="20"/>
                <w:szCs w:val="20"/>
              </w:rPr>
              <w:t>1</w:t>
            </w:r>
            <w:r>
              <w:rPr>
                <w:rFonts w:ascii="仿宋_GB2312" w:eastAsia="仿宋_GB2312" w:hAnsi="宋体" w:cs="仿宋_GB2312" w:hint="eastAsia"/>
                <w:color w:val="000000"/>
                <w:sz w:val="20"/>
                <w:szCs w:val="20"/>
              </w:rPr>
              <w:t>月起，为我县</w:t>
            </w:r>
            <w:r>
              <w:rPr>
                <w:rFonts w:ascii="仿宋_GB2312" w:eastAsia="仿宋_GB2312" w:hAnsi="宋体" w:cs="仿宋_GB2312"/>
                <w:color w:val="000000"/>
                <w:sz w:val="20"/>
                <w:szCs w:val="20"/>
              </w:rPr>
              <w:t>81</w:t>
            </w:r>
            <w:r>
              <w:rPr>
                <w:rFonts w:ascii="仿宋_GB2312" w:eastAsia="仿宋_GB2312" w:hAnsi="宋体" w:cs="仿宋_GB2312" w:hint="eastAsia"/>
                <w:color w:val="000000"/>
                <w:sz w:val="20"/>
                <w:szCs w:val="20"/>
              </w:rPr>
              <w:t>个基层治保会</w:t>
            </w:r>
            <w:r>
              <w:rPr>
                <w:rFonts w:ascii="仿宋_GB2312" w:eastAsia="仿宋_GB2312" w:hAnsi="宋体" w:cs="仿宋_GB2312"/>
                <w:color w:val="000000"/>
                <w:sz w:val="20"/>
                <w:szCs w:val="20"/>
              </w:rPr>
              <w:t>1102</w:t>
            </w:r>
            <w:r>
              <w:rPr>
                <w:rFonts w:ascii="仿宋_GB2312" w:eastAsia="仿宋_GB2312" w:hAnsi="宋体" w:cs="仿宋_GB2312" w:hint="eastAsia"/>
                <w:color w:val="000000"/>
                <w:sz w:val="20"/>
                <w:szCs w:val="20"/>
              </w:rPr>
              <w:t>名治保委员提高工资待遇，购买人身意外伤害保险，补贴通讯费并按需提供装备保障。</w:t>
            </w:r>
          </w:p>
          <w:p w:rsidR="00AF2C29" w:rsidRDefault="00AF2C29">
            <w:pPr>
              <w:rPr>
                <w:rFonts w:ascii="仿宋_GB2312" w:eastAsia="仿宋_GB2312" w:hAnsi="宋体" w:cs="仿宋_GB2312"/>
                <w:color w:val="000000"/>
                <w:sz w:val="20"/>
                <w:szCs w:val="20"/>
              </w:rPr>
            </w:pP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r>
      <w:tr w:rsidR="00AF2C29">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rsidP="00655A8B">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依托县、乡、村、组四级为民服务中心（站、点），全面整合综合服务平台和社会治安综合治理信息系统，做到资源共享、功能集成、设施共用，实现了“两网同台、三屏合一、三通绑定”。</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rsidP="00655A8B">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依托县、乡、村、组四级为民服务中心（站、点），全面整合综合服务平台和社会治安综合治理信息系统，做到资源共享、功能集成、设施共用，实现了“两网同台、三屏合一、三通绑定”， 完成81个村社</w:t>
            </w:r>
            <w:r>
              <w:rPr>
                <w:rFonts w:ascii="仿宋_GB2312" w:eastAsia="仿宋_GB2312" w:hAnsi="宋体" w:cs="仿宋_GB2312" w:hint="eastAsia"/>
                <w:color w:val="000000"/>
                <w:sz w:val="20"/>
                <w:szCs w:val="20"/>
              </w:rPr>
              <w:lastRenderedPageBreak/>
              <w:t>区、10个乡镇街道综治中心建设挂牌工作。</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lastRenderedPageBreak/>
              <w:t>由于经费和时间问题，综治中心建设有待加强，目前只完成挂牌工作，2018年继续加强建设。</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r>
      <w:tr w:rsidR="00AF2C29">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lastRenderedPageBreak/>
              <w:t>项目效益</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rsidP="00655A8B">
            <w:pPr>
              <w:spacing w:line="560" w:lineRule="exact"/>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建设一支任务有人担、事情有人做、工作力量到位的基层综治干部队伍，确保综治维稳及平安建设各项工作稳步推进。提高人民群众参与平安元江建设的意识，发挥人民群众的主体作用.</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rsidP="00655A8B">
            <w:pPr>
              <w:spacing w:line="560" w:lineRule="exact"/>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形成一支任务有人担、事情有人做、工作力量到位的基层综治干部队伍，确保综治维稳及平安建设各项工作稳步推进。提高人民群众参与平安元江建设的意识，发挥人民群众的主体作用.</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r>
      <w:tr w:rsidR="00AF2C29">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rsidP="00655A8B">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基层治保会积极参与矛盾纠纷排查化解、交通安全劝导、流动人口排查管理、缉枪治爆等工作，解决“中间有人管”的问题。</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Pr="00655A8B" w:rsidRDefault="000A5130" w:rsidP="00655A8B">
            <w:pPr>
              <w:rPr>
                <w:rFonts w:eastAsia="仿宋_GB2312" w:cs="仿宋_GB2312"/>
                <w:color w:val="000000"/>
                <w:sz w:val="20"/>
                <w:szCs w:val="20"/>
              </w:rPr>
            </w:pPr>
            <w:r>
              <w:rPr>
                <w:rFonts w:ascii="仿宋_GB2312" w:eastAsia="仿宋_GB2312" w:hAnsi="宋体" w:cs="仿宋_GB2312" w:hint="eastAsia"/>
                <w:color w:val="000000"/>
                <w:sz w:val="20"/>
                <w:szCs w:val="20"/>
              </w:rPr>
              <w:t>基层治保会积极参与矛盾纠纷排查化解、交通安全劝导、流动人口排查管理、缉枪治爆等工作，解决“中间有人管”的问题。</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r>
      <w:tr w:rsidR="00AF2C29">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rsidP="00655A8B">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加强基层服务管理平台建设，进一步整合资源，把社会治理和公共服务有效延伸到基层，不断夯实平安元江建设根基。</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rsidP="00655A8B">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加强了基层服务管理平台建设，进一步整合资源，把社会治理和公共服务有效延伸到基层，不断夯实平安元江建设根基。</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r>
      <w:tr w:rsidR="00AF2C29">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rsidP="00655A8B">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二、评价综合意见：</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textAlignment w:val="center"/>
              <w:rPr>
                <w:rFonts w:ascii="宋体" w:eastAsia="宋体" w:hAnsi="宋体" w:cs="宋体"/>
                <w:color w:val="000000"/>
                <w:kern w:val="0"/>
                <w:sz w:val="24"/>
                <w:szCs w:val="24"/>
              </w:rPr>
            </w:pPr>
          </w:p>
        </w:tc>
      </w:tr>
      <w:tr w:rsidR="00AF2C29">
        <w:trPr>
          <w:trHeight w:val="659"/>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主要绩效情况</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pPr>
              <w:rPr>
                <w:rFonts w:ascii="仿宋_GB2312" w:eastAsia="仿宋_GB2312" w:hAnsi="宋体" w:cs="仿宋_GB2312"/>
                <w:color w:val="000000"/>
                <w:sz w:val="20"/>
                <w:szCs w:val="20"/>
              </w:rPr>
            </w:pPr>
            <w:r>
              <w:rPr>
                <w:rFonts w:ascii="宋体" w:eastAsia="宋体" w:hAnsi="宋体" w:cs="宋体" w:hint="eastAsia"/>
                <w:color w:val="000000"/>
                <w:kern w:val="0"/>
                <w:sz w:val="24"/>
                <w:szCs w:val="24"/>
              </w:rPr>
              <w:t>保障了辖区社会治安稳定，有效地促进了辖区经济的发展，减少、排除了辖区矛盾及纠纷，使我县社会治安形势持续保持平稳、有序、可控的良好局面，为维护全县社会稳定，促进全处经济发展创造了良好的社会环境</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r>
      <w:tr w:rsidR="00AF2C29">
        <w:trPr>
          <w:trHeight w:val="3236"/>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主要问题与建议</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rsidP="00007380">
            <w:pPr>
              <w:spacing w:beforeLines="50" w:afterLines="50" w:line="56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问题：单位虽然对项目资金进行了必要的监控和检查，但未形成书面的监控报告。</w:t>
            </w:r>
          </w:p>
          <w:p w:rsidR="00AF2C29" w:rsidRDefault="000A5130">
            <w:pPr>
              <w:rPr>
                <w:rFonts w:ascii="宋体" w:eastAsia="宋体" w:hAnsi="宋体" w:cs="宋体"/>
                <w:color w:val="000000"/>
                <w:kern w:val="0"/>
                <w:sz w:val="24"/>
                <w:szCs w:val="24"/>
              </w:rPr>
            </w:pPr>
            <w:r>
              <w:rPr>
                <w:rFonts w:ascii="宋体" w:eastAsia="宋体" w:hAnsi="宋体" w:cs="宋体" w:hint="eastAsia"/>
                <w:color w:val="000000"/>
                <w:kern w:val="0"/>
                <w:sz w:val="24"/>
                <w:szCs w:val="24"/>
              </w:rPr>
              <w:t>建议1、加强项目资金的管理和加强项目的业务管理，完善项目业务管理制度；</w:t>
            </w:r>
          </w:p>
          <w:p w:rsidR="00AF2C29" w:rsidRDefault="000A5130" w:rsidP="00007380">
            <w:pPr>
              <w:spacing w:beforeLines="50" w:afterLines="50" w:line="560" w:lineRule="exact"/>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2、加强财务监控，对项目资金进行事前、事中、事后的检查分析，并形成监控报告，确保项目资金安全有效运行。</w:t>
            </w:r>
          </w:p>
          <w:p w:rsidR="00AF2C29" w:rsidRDefault="00AF2C29" w:rsidP="00007380">
            <w:pPr>
              <w:spacing w:beforeLines="50" w:afterLines="50" w:line="560" w:lineRule="exact"/>
              <w:rPr>
                <w:rFonts w:ascii="宋体" w:eastAsia="宋体" w:hAnsi="宋体" w:cs="宋体"/>
                <w:color w:val="000000"/>
                <w:kern w:val="0"/>
                <w:sz w:val="24"/>
                <w:szCs w:val="24"/>
              </w:rPr>
            </w:pPr>
          </w:p>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r>
      <w:tr w:rsidR="00AF2C29">
        <w:trPr>
          <w:trHeight w:val="286"/>
        </w:trPr>
        <w:tc>
          <w:tcPr>
            <w:tcW w:w="1080" w:type="dxa"/>
            <w:shd w:val="clear" w:color="auto" w:fill="auto"/>
            <w:vAlign w:val="center"/>
          </w:tcPr>
          <w:p w:rsidR="00AF2C29" w:rsidRDefault="00AF2C29">
            <w:pPr>
              <w:rPr>
                <w:rFonts w:ascii="宋体" w:eastAsia="宋体" w:hAnsi="宋体" w:cs="宋体"/>
                <w:color w:val="000000"/>
                <w:sz w:val="24"/>
                <w:szCs w:val="24"/>
              </w:rPr>
            </w:pPr>
          </w:p>
        </w:tc>
        <w:tc>
          <w:tcPr>
            <w:tcW w:w="1354" w:type="dxa"/>
            <w:shd w:val="clear" w:color="auto" w:fill="auto"/>
            <w:vAlign w:val="center"/>
          </w:tcPr>
          <w:p w:rsidR="00AF2C29" w:rsidRDefault="00AF2C29">
            <w:pPr>
              <w:rPr>
                <w:rFonts w:ascii="宋体" w:eastAsia="宋体" w:hAnsi="宋体" w:cs="宋体"/>
                <w:color w:val="000000"/>
                <w:sz w:val="24"/>
                <w:szCs w:val="24"/>
              </w:rPr>
            </w:pPr>
          </w:p>
        </w:tc>
        <w:tc>
          <w:tcPr>
            <w:tcW w:w="1354" w:type="dxa"/>
            <w:shd w:val="clear" w:color="auto" w:fill="auto"/>
            <w:vAlign w:val="center"/>
          </w:tcPr>
          <w:p w:rsidR="00AF2C29" w:rsidRDefault="00AF2C29">
            <w:pPr>
              <w:rPr>
                <w:rFonts w:ascii="宋体" w:eastAsia="宋体" w:hAnsi="宋体" w:cs="宋体"/>
                <w:color w:val="000000"/>
                <w:sz w:val="24"/>
                <w:szCs w:val="24"/>
              </w:rPr>
            </w:pPr>
          </w:p>
        </w:tc>
        <w:tc>
          <w:tcPr>
            <w:tcW w:w="1370" w:type="dxa"/>
            <w:gridSpan w:val="2"/>
            <w:shd w:val="clear" w:color="auto" w:fill="auto"/>
            <w:vAlign w:val="center"/>
          </w:tcPr>
          <w:p w:rsidR="00AF2C29" w:rsidRDefault="00AF2C29">
            <w:pPr>
              <w:rPr>
                <w:rFonts w:ascii="宋体" w:eastAsia="宋体" w:hAnsi="宋体" w:cs="宋体"/>
                <w:color w:val="000000"/>
                <w:sz w:val="24"/>
                <w:szCs w:val="24"/>
              </w:rPr>
            </w:pPr>
          </w:p>
        </w:tc>
        <w:tc>
          <w:tcPr>
            <w:tcW w:w="3030" w:type="dxa"/>
            <w:gridSpan w:val="2"/>
            <w:shd w:val="clear" w:color="auto" w:fill="auto"/>
            <w:vAlign w:val="center"/>
          </w:tcPr>
          <w:p w:rsidR="00AF2C29" w:rsidRDefault="00AF2C29">
            <w:pPr>
              <w:rPr>
                <w:rFonts w:ascii="宋体" w:eastAsia="宋体" w:hAnsi="宋体" w:cs="宋体"/>
                <w:color w:val="000000"/>
                <w:sz w:val="24"/>
                <w:szCs w:val="24"/>
              </w:rPr>
            </w:pPr>
          </w:p>
        </w:tc>
        <w:tc>
          <w:tcPr>
            <w:tcW w:w="2430" w:type="dxa"/>
            <w:shd w:val="clear" w:color="auto" w:fill="auto"/>
            <w:vAlign w:val="center"/>
          </w:tcPr>
          <w:p w:rsidR="00AF2C29" w:rsidRDefault="00AF2C29">
            <w:pPr>
              <w:rPr>
                <w:rFonts w:ascii="宋体" w:eastAsia="宋体" w:hAnsi="宋体" w:cs="宋体"/>
                <w:color w:val="000000"/>
                <w:sz w:val="24"/>
                <w:szCs w:val="24"/>
              </w:rPr>
            </w:pPr>
          </w:p>
        </w:tc>
        <w:tc>
          <w:tcPr>
            <w:tcW w:w="2420" w:type="dxa"/>
            <w:shd w:val="clear" w:color="auto" w:fill="auto"/>
            <w:vAlign w:val="center"/>
          </w:tcPr>
          <w:p w:rsidR="00AF2C29" w:rsidRDefault="00AF2C29">
            <w:pPr>
              <w:rPr>
                <w:rFonts w:ascii="宋体" w:eastAsia="宋体" w:hAnsi="宋体" w:cs="宋体"/>
                <w:color w:val="000000"/>
                <w:sz w:val="24"/>
                <w:szCs w:val="24"/>
              </w:rPr>
            </w:pPr>
          </w:p>
        </w:tc>
        <w:tc>
          <w:tcPr>
            <w:tcW w:w="2420" w:type="dxa"/>
            <w:shd w:val="clear" w:color="auto" w:fill="auto"/>
            <w:vAlign w:val="center"/>
          </w:tcPr>
          <w:p w:rsidR="00AF2C29" w:rsidRDefault="00AF2C29">
            <w:pPr>
              <w:rPr>
                <w:rFonts w:ascii="宋体" w:eastAsia="宋体" w:hAnsi="宋体" w:cs="宋体"/>
                <w:color w:val="000000"/>
                <w:sz w:val="24"/>
                <w:szCs w:val="24"/>
              </w:rPr>
            </w:pPr>
          </w:p>
        </w:tc>
        <w:tc>
          <w:tcPr>
            <w:tcW w:w="2420" w:type="dxa"/>
            <w:shd w:val="clear" w:color="auto" w:fill="auto"/>
            <w:vAlign w:val="center"/>
          </w:tcPr>
          <w:p w:rsidR="00AF2C29" w:rsidRDefault="00AF2C29">
            <w:pPr>
              <w:rPr>
                <w:rFonts w:ascii="宋体" w:eastAsia="宋体" w:hAnsi="宋体" w:cs="宋体"/>
                <w:color w:val="000000"/>
                <w:sz w:val="24"/>
                <w:szCs w:val="24"/>
              </w:rPr>
            </w:pPr>
          </w:p>
        </w:tc>
        <w:tc>
          <w:tcPr>
            <w:tcW w:w="2420" w:type="dxa"/>
            <w:shd w:val="clear" w:color="auto" w:fill="auto"/>
            <w:vAlign w:val="center"/>
          </w:tcPr>
          <w:p w:rsidR="00AF2C29" w:rsidRDefault="00AF2C29">
            <w:pPr>
              <w:rPr>
                <w:rFonts w:ascii="宋体" w:eastAsia="宋体" w:hAnsi="宋体" w:cs="宋体"/>
                <w:color w:val="000000"/>
                <w:sz w:val="24"/>
                <w:szCs w:val="24"/>
              </w:rPr>
            </w:pPr>
          </w:p>
        </w:tc>
      </w:tr>
      <w:tr w:rsidR="00AF2C29">
        <w:trPr>
          <w:trHeight w:val="735"/>
        </w:trPr>
        <w:tc>
          <w:tcPr>
            <w:tcW w:w="10618" w:type="dxa"/>
            <w:gridSpan w:val="8"/>
            <w:shd w:val="clear" w:color="auto" w:fill="auto"/>
            <w:vAlign w:val="center"/>
          </w:tcPr>
          <w:p w:rsidR="00AF2C29" w:rsidRDefault="000A5130">
            <w:pPr>
              <w:widowControl/>
              <w:textAlignment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lastRenderedPageBreak/>
              <w:t xml:space="preserve">     预算单位：元江县政法委                       公告时间：201</w:t>
            </w:r>
            <w:r w:rsidR="00BA6597">
              <w:rPr>
                <w:rFonts w:ascii="宋体" w:eastAsia="宋体" w:hAnsi="宋体" w:cs="宋体"/>
                <w:color w:val="000000"/>
                <w:kern w:val="0"/>
                <w:sz w:val="24"/>
                <w:szCs w:val="24"/>
              </w:rPr>
              <w:t>9</w:t>
            </w:r>
            <w:r>
              <w:rPr>
                <w:rFonts w:ascii="宋体" w:eastAsia="宋体" w:hAnsi="宋体" w:cs="宋体" w:hint="eastAsia"/>
                <w:color w:val="000000"/>
                <w:kern w:val="0"/>
                <w:sz w:val="24"/>
                <w:szCs w:val="24"/>
              </w:rPr>
              <w:t>年</w:t>
            </w:r>
            <w:r w:rsidR="00BA6597">
              <w:rPr>
                <w:rFonts w:ascii="宋体" w:eastAsia="宋体" w:hAnsi="宋体" w:cs="宋体"/>
                <w:color w:val="000000"/>
                <w:kern w:val="0"/>
                <w:sz w:val="24"/>
                <w:szCs w:val="24"/>
              </w:rPr>
              <w:t>1</w:t>
            </w:r>
            <w:r>
              <w:rPr>
                <w:rFonts w:ascii="宋体" w:eastAsia="宋体" w:hAnsi="宋体" w:cs="宋体" w:hint="eastAsia"/>
                <w:color w:val="000000"/>
                <w:kern w:val="0"/>
                <w:sz w:val="24"/>
                <w:szCs w:val="24"/>
              </w:rPr>
              <w:t>月2</w:t>
            </w:r>
            <w:r w:rsidR="00BA6597">
              <w:rPr>
                <w:rFonts w:ascii="宋体" w:eastAsia="宋体" w:hAnsi="宋体" w:cs="宋体"/>
                <w:color w:val="000000"/>
                <w:kern w:val="0"/>
                <w:sz w:val="24"/>
                <w:szCs w:val="24"/>
              </w:rPr>
              <w:t>8</w:t>
            </w:r>
            <w:r>
              <w:rPr>
                <w:rFonts w:ascii="宋体" w:eastAsia="宋体" w:hAnsi="宋体" w:cs="宋体" w:hint="eastAsia"/>
                <w:color w:val="000000"/>
                <w:kern w:val="0"/>
                <w:sz w:val="24"/>
                <w:szCs w:val="24"/>
              </w:rPr>
              <w:t>日</w:t>
            </w:r>
          </w:p>
          <w:p w:rsidR="00AF2C29" w:rsidRDefault="00AF2C29">
            <w:pPr>
              <w:jc w:val="center"/>
              <w:rPr>
                <w:rFonts w:ascii="Times New Roman" w:eastAsia="仿宋" w:hAnsi="Times New Roman" w:cs="Times New Roman"/>
                <w:b/>
                <w:sz w:val="32"/>
                <w:szCs w:val="32"/>
              </w:rPr>
            </w:pPr>
          </w:p>
          <w:p w:rsidR="00655A8B" w:rsidRDefault="000A5130" w:rsidP="00655A8B">
            <w:pPr>
              <w:jc w:val="center"/>
              <w:rPr>
                <w:rFonts w:ascii="宋体" w:eastAsia="宋体" w:hAnsi="宋体" w:cs="宋体"/>
                <w:color w:val="000000"/>
                <w:sz w:val="24"/>
                <w:szCs w:val="24"/>
              </w:rPr>
            </w:pPr>
            <w:r>
              <w:rPr>
                <w:rFonts w:ascii="Times New Roman" w:eastAsia="仿宋" w:hAnsi="Times New Roman" w:cs="Times New Roman" w:hint="eastAsia"/>
                <w:b/>
                <w:sz w:val="32"/>
                <w:szCs w:val="32"/>
              </w:rPr>
              <w:t xml:space="preserve">               </w:t>
            </w:r>
          </w:p>
          <w:p w:rsidR="00AF2C29" w:rsidRDefault="00AF2C29">
            <w:pPr>
              <w:jc w:val="center"/>
              <w:rPr>
                <w:rFonts w:ascii="宋体" w:eastAsia="宋体" w:hAnsi="宋体" w:cs="宋体"/>
                <w:color w:val="000000"/>
                <w:sz w:val="24"/>
                <w:szCs w:val="24"/>
              </w:rPr>
            </w:pPr>
          </w:p>
        </w:tc>
        <w:tc>
          <w:tcPr>
            <w:tcW w:w="2420" w:type="dxa"/>
            <w:shd w:val="clear" w:color="auto" w:fill="auto"/>
            <w:vAlign w:val="center"/>
          </w:tcPr>
          <w:p w:rsidR="00AF2C29" w:rsidRDefault="00AF2C29">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AF2C29" w:rsidRDefault="00AF2C29">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AF2C29" w:rsidRDefault="00AF2C29">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AF2C29" w:rsidRDefault="00AF2C29">
            <w:pPr>
              <w:widowControl/>
              <w:textAlignment w:val="center"/>
              <w:rPr>
                <w:rFonts w:ascii="宋体" w:eastAsia="宋体" w:hAnsi="宋体" w:cs="宋体"/>
                <w:color w:val="000000"/>
                <w:kern w:val="0"/>
                <w:sz w:val="24"/>
                <w:szCs w:val="24"/>
              </w:rPr>
            </w:pPr>
          </w:p>
        </w:tc>
      </w:tr>
    </w:tbl>
    <w:p w:rsidR="00AF2C29" w:rsidRDefault="00AF2C29">
      <w:pPr>
        <w:rPr>
          <w:sz w:val="30"/>
          <w:szCs w:val="30"/>
        </w:rPr>
      </w:pPr>
    </w:p>
    <w:p w:rsidR="00AF2C29" w:rsidRDefault="00AF2C29">
      <w:pPr>
        <w:ind w:firstLineChars="200" w:firstLine="640"/>
        <w:rPr>
          <w:rFonts w:ascii="仿宋" w:eastAsia="仿宋" w:hAnsi="仿宋"/>
          <w:color w:val="000000"/>
          <w:sz w:val="32"/>
        </w:rPr>
      </w:pPr>
    </w:p>
    <w:tbl>
      <w:tblPr>
        <w:tblW w:w="20298" w:type="dxa"/>
        <w:tblLayout w:type="fixed"/>
        <w:tblCellMar>
          <w:top w:w="15" w:type="dxa"/>
          <w:left w:w="15" w:type="dxa"/>
          <w:bottom w:w="15" w:type="dxa"/>
          <w:right w:w="15" w:type="dxa"/>
        </w:tblCellMar>
        <w:tblLook w:val="04A0"/>
      </w:tblPr>
      <w:tblGrid>
        <w:gridCol w:w="1080"/>
        <w:gridCol w:w="1354"/>
        <w:gridCol w:w="1354"/>
        <w:gridCol w:w="790"/>
        <w:gridCol w:w="580"/>
        <w:gridCol w:w="2075"/>
        <w:gridCol w:w="955"/>
        <w:gridCol w:w="2430"/>
        <w:gridCol w:w="2420"/>
        <w:gridCol w:w="2420"/>
        <w:gridCol w:w="2420"/>
        <w:gridCol w:w="2420"/>
      </w:tblGrid>
      <w:tr w:rsidR="00AF2C29">
        <w:trPr>
          <w:trHeight w:val="405"/>
        </w:trPr>
        <w:tc>
          <w:tcPr>
            <w:tcW w:w="10618" w:type="dxa"/>
            <w:gridSpan w:val="8"/>
            <w:shd w:val="clear" w:color="auto" w:fill="auto"/>
            <w:vAlign w:val="center"/>
          </w:tcPr>
          <w:p w:rsidR="00AF2C29" w:rsidRDefault="00AF2C29">
            <w:pPr>
              <w:widowControl/>
              <w:textAlignment w:val="center"/>
              <w:rPr>
                <w:rFonts w:ascii="仿宋_GB2312" w:eastAsia="仿宋_GB2312" w:hAnsi="宋体" w:cs="仿宋_GB2312"/>
                <w:b/>
                <w:color w:val="000000"/>
                <w:kern w:val="0"/>
                <w:sz w:val="32"/>
                <w:szCs w:val="32"/>
              </w:rPr>
            </w:pPr>
          </w:p>
          <w:p w:rsidR="00AF2C29" w:rsidRDefault="000A5130">
            <w:pPr>
              <w:widowControl/>
              <w:ind w:firstLineChars="400" w:firstLine="1285"/>
              <w:textAlignment w:val="center"/>
              <w:rPr>
                <w:rFonts w:ascii="仿宋_GB2312" w:eastAsia="仿宋_GB2312" w:hAnsi="宋体" w:cs="仿宋_GB2312"/>
                <w:b/>
                <w:color w:val="000000"/>
                <w:sz w:val="32"/>
                <w:szCs w:val="32"/>
              </w:rPr>
            </w:pPr>
            <w:r>
              <w:rPr>
                <w:rFonts w:ascii="仿宋_GB2312" w:eastAsia="仿宋_GB2312" w:hAnsi="宋体" w:cs="仿宋_GB2312" w:hint="eastAsia"/>
                <w:b/>
                <w:color w:val="000000"/>
                <w:kern w:val="0"/>
                <w:sz w:val="32"/>
                <w:szCs w:val="32"/>
              </w:rPr>
              <w:t>县级部门项目支出绩效评价结果信息公开</w:t>
            </w:r>
          </w:p>
        </w:tc>
        <w:tc>
          <w:tcPr>
            <w:tcW w:w="2420" w:type="dxa"/>
            <w:shd w:val="clear" w:color="auto" w:fill="auto"/>
            <w:vAlign w:val="center"/>
          </w:tcPr>
          <w:p w:rsidR="00AF2C29" w:rsidRDefault="00AF2C29">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AF2C29" w:rsidRDefault="00AF2C29">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AF2C29" w:rsidRDefault="00AF2C29">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AF2C29" w:rsidRDefault="00AF2C29">
            <w:pPr>
              <w:widowControl/>
              <w:textAlignment w:val="center"/>
              <w:rPr>
                <w:rFonts w:ascii="仿宋_GB2312" w:eastAsia="仿宋_GB2312" w:hAnsi="宋体" w:cs="仿宋_GB2312"/>
                <w:b/>
                <w:color w:val="000000"/>
                <w:kern w:val="0"/>
                <w:sz w:val="32"/>
                <w:szCs w:val="32"/>
              </w:rPr>
            </w:pPr>
          </w:p>
        </w:tc>
      </w:tr>
      <w:tr w:rsidR="00AF2C29">
        <w:trPr>
          <w:trHeight w:val="286"/>
        </w:trPr>
        <w:tc>
          <w:tcPr>
            <w:tcW w:w="1080" w:type="dxa"/>
            <w:shd w:val="clear" w:color="auto" w:fill="auto"/>
            <w:vAlign w:val="center"/>
          </w:tcPr>
          <w:p w:rsidR="00AF2C29" w:rsidRDefault="00AF2C29">
            <w:pPr>
              <w:rPr>
                <w:rFonts w:ascii="宋体" w:eastAsia="宋体" w:hAnsi="宋体" w:cs="宋体"/>
                <w:color w:val="000000"/>
                <w:sz w:val="24"/>
                <w:szCs w:val="24"/>
              </w:rPr>
            </w:pPr>
          </w:p>
        </w:tc>
        <w:tc>
          <w:tcPr>
            <w:tcW w:w="1354" w:type="dxa"/>
            <w:shd w:val="clear" w:color="auto" w:fill="auto"/>
            <w:vAlign w:val="center"/>
          </w:tcPr>
          <w:p w:rsidR="00AF2C29" w:rsidRDefault="00AF2C29">
            <w:pPr>
              <w:rPr>
                <w:rFonts w:ascii="宋体" w:eastAsia="宋体" w:hAnsi="宋体" w:cs="宋体"/>
                <w:color w:val="000000"/>
                <w:sz w:val="24"/>
                <w:szCs w:val="24"/>
              </w:rPr>
            </w:pPr>
          </w:p>
        </w:tc>
        <w:tc>
          <w:tcPr>
            <w:tcW w:w="1354" w:type="dxa"/>
            <w:shd w:val="clear" w:color="auto" w:fill="auto"/>
            <w:vAlign w:val="center"/>
          </w:tcPr>
          <w:p w:rsidR="00AF2C29" w:rsidRDefault="00AF2C29">
            <w:pPr>
              <w:rPr>
                <w:rFonts w:ascii="宋体" w:eastAsia="宋体" w:hAnsi="宋体" w:cs="宋体"/>
                <w:color w:val="000000"/>
                <w:sz w:val="24"/>
                <w:szCs w:val="24"/>
              </w:rPr>
            </w:pPr>
          </w:p>
        </w:tc>
        <w:tc>
          <w:tcPr>
            <w:tcW w:w="1370" w:type="dxa"/>
            <w:gridSpan w:val="2"/>
            <w:shd w:val="clear" w:color="auto" w:fill="auto"/>
            <w:vAlign w:val="center"/>
          </w:tcPr>
          <w:p w:rsidR="00AF2C29" w:rsidRDefault="00AF2C29">
            <w:pPr>
              <w:rPr>
                <w:rFonts w:ascii="宋体" w:eastAsia="宋体" w:hAnsi="宋体" w:cs="宋体"/>
                <w:color w:val="000000"/>
                <w:sz w:val="24"/>
                <w:szCs w:val="24"/>
              </w:rPr>
            </w:pPr>
          </w:p>
        </w:tc>
        <w:tc>
          <w:tcPr>
            <w:tcW w:w="3030" w:type="dxa"/>
            <w:gridSpan w:val="2"/>
            <w:shd w:val="clear" w:color="auto" w:fill="auto"/>
            <w:vAlign w:val="center"/>
          </w:tcPr>
          <w:p w:rsidR="00AF2C29" w:rsidRDefault="00AF2C29">
            <w:pPr>
              <w:rPr>
                <w:rFonts w:ascii="宋体" w:eastAsia="宋体" w:hAnsi="宋体" w:cs="宋体"/>
                <w:color w:val="000000"/>
                <w:sz w:val="24"/>
                <w:szCs w:val="24"/>
              </w:rPr>
            </w:pPr>
          </w:p>
        </w:tc>
        <w:tc>
          <w:tcPr>
            <w:tcW w:w="2430" w:type="dxa"/>
            <w:shd w:val="clear" w:color="auto" w:fill="auto"/>
            <w:vAlign w:val="center"/>
          </w:tcPr>
          <w:p w:rsidR="00AF2C29" w:rsidRDefault="00AF2C29">
            <w:pPr>
              <w:rPr>
                <w:rFonts w:ascii="宋体" w:eastAsia="宋体" w:hAnsi="宋体" w:cs="宋体"/>
                <w:color w:val="000000"/>
                <w:sz w:val="24"/>
                <w:szCs w:val="24"/>
              </w:rPr>
            </w:pPr>
          </w:p>
        </w:tc>
        <w:tc>
          <w:tcPr>
            <w:tcW w:w="2420" w:type="dxa"/>
            <w:shd w:val="clear" w:color="auto" w:fill="auto"/>
            <w:vAlign w:val="center"/>
          </w:tcPr>
          <w:p w:rsidR="00AF2C29" w:rsidRDefault="00AF2C29">
            <w:pPr>
              <w:rPr>
                <w:rFonts w:ascii="宋体" w:eastAsia="宋体" w:hAnsi="宋体" w:cs="宋体"/>
                <w:color w:val="000000"/>
                <w:sz w:val="24"/>
                <w:szCs w:val="24"/>
              </w:rPr>
            </w:pPr>
          </w:p>
        </w:tc>
        <w:tc>
          <w:tcPr>
            <w:tcW w:w="2420" w:type="dxa"/>
            <w:shd w:val="clear" w:color="auto" w:fill="auto"/>
            <w:vAlign w:val="center"/>
          </w:tcPr>
          <w:p w:rsidR="00AF2C29" w:rsidRDefault="00AF2C29">
            <w:pPr>
              <w:rPr>
                <w:rFonts w:ascii="宋体" w:eastAsia="宋体" w:hAnsi="宋体" w:cs="宋体"/>
                <w:color w:val="000000"/>
                <w:sz w:val="24"/>
                <w:szCs w:val="24"/>
              </w:rPr>
            </w:pPr>
          </w:p>
        </w:tc>
        <w:tc>
          <w:tcPr>
            <w:tcW w:w="2420" w:type="dxa"/>
            <w:shd w:val="clear" w:color="auto" w:fill="auto"/>
            <w:vAlign w:val="center"/>
          </w:tcPr>
          <w:p w:rsidR="00AF2C29" w:rsidRDefault="00AF2C29">
            <w:pPr>
              <w:rPr>
                <w:rFonts w:ascii="宋体" w:eastAsia="宋体" w:hAnsi="宋体" w:cs="宋体"/>
                <w:color w:val="000000"/>
                <w:sz w:val="24"/>
                <w:szCs w:val="24"/>
              </w:rPr>
            </w:pPr>
          </w:p>
        </w:tc>
        <w:tc>
          <w:tcPr>
            <w:tcW w:w="2420" w:type="dxa"/>
            <w:shd w:val="clear" w:color="auto" w:fill="auto"/>
            <w:vAlign w:val="center"/>
          </w:tcPr>
          <w:p w:rsidR="00AF2C29" w:rsidRDefault="00AF2C29">
            <w:pPr>
              <w:rPr>
                <w:rFonts w:ascii="宋体" w:eastAsia="宋体" w:hAnsi="宋体" w:cs="宋体"/>
                <w:color w:val="000000"/>
                <w:sz w:val="24"/>
                <w:szCs w:val="24"/>
              </w:rPr>
            </w:pPr>
          </w:p>
        </w:tc>
      </w:tr>
      <w:tr w:rsidR="00AF2C29">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项目名称（全称）</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sz w:val="24"/>
                <w:szCs w:val="24"/>
              </w:rPr>
              <w:t>社会管理综合治理工作经费</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仿宋_GB2312" w:eastAsia="仿宋_GB2312" w:hAnsi="宋体" w:cs="仿宋_GB2312"/>
                <w:color w:val="000000"/>
                <w:kern w:val="0"/>
                <w:sz w:val="24"/>
                <w:szCs w:val="24"/>
              </w:rPr>
            </w:pPr>
          </w:p>
        </w:tc>
      </w:tr>
      <w:tr w:rsidR="00AF2C29">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预算单位</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sz w:val="24"/>
                <w:szCs w:val="24"/>
              </w:rPr>
              <w:t>元江县委政法委</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仿宋_GB2312" w:eastAsia="仿宋_GB2312" w:hAnsi="宋体" w:cs="仿宋_GB2312"/>
                <w:color w:val="000000"/>
                <w:kern w:val="0"/>
                <w:sz w:val="24"/>
                <w:szCs w:val="24"/>
              </w:rPr>
            </w:pPr>
          </w:p>
        </w:tc>
      </w:tr>
      <w:tr w:rsidR="00AF2C29">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预算主管部门</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sz w:val="24"/>
                <w:szCs w:val="24"/>
              </w:rPr>
              <w:t>元江县委政法委</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仿宋_GB2312" w:eastAsia="仿宋_GB2312" w:hAnsi="宋体" w:cs="仿宋_GB2312"/>
                <w:color w:val="000000"/>
                <w:kern w:val="0"/>
                <w:sz w:val="24"/>
                <w:szCs w:val="24"/>
              </w:rPr>
            </w:pPr>
          </w:p>
        </w:tc>
      </w:tr>
      <w:tr w:rsidR="00AF2C29">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项目所属年度</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sz w:val="24"/>
                <w:szCs w:val="24"/>
              </w:rPr>
              <w:t>2017年</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仿宋_GB2312" w:eastAsia="仿宋_GB2312" w:hAnsi="宋体" w:cs="仿宋_GB2312"/>
                <w:color w:val="000000"/>
                <w:kern w:val="0"/>
                <w:sz w:val="24"/>
                <w:szCs w:val="24"/>
              </w:rPr>
            </w:pPr>
          </w:p>
        </w:tc>
      </w:tr>
      <w:tr w:rsidR="00AF2C29">
        <w:trPr>
          <w:trHeight w:val="61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项目预算安排（万元）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sz w:val="24"/>
                <w:szCs w:val="24"/>
              </w:rPr>
              <w:t>66</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仿宋_GB2312" w:eastAsia="仿宋_GB2312" w:hAnsi="宋体" w:cs="仿宋_GB2312"/>
                <w:color w:val="000000"/>
                <w:kern w:val="0"/>
                <w:sz w:val="24"/>
                <w:szCs w:val="24"/>
              </w:rPr>
            </w:pPr>
          </w:p>
        </w:tc>
      </w:tr>
      <w:tr w:rsidR="00AF2C29">
        <w:trPr>
          <w:trHeight w:val="55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项目实际支出（万元）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sz w:val="24"/>
                <w:szCs w:val="24"/>
              </w:rPr>
              <w:t>66</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仿宋_GB2312" w:eastAsia="仿宋_GB2312" w:hAnsi="宋体" w:cs="仿宋_GB2312"/>
                <w:color w:val="000000"/>
                <w:kern w:val="0"/>
                <w:sz w:val="24"/>
                <w:szCs w:val="24"/>
              </w:rPr>
            </w:pPr>
          </w:p>
        </w:tc>
      </w:tr>
      <w:tr w:rsidR="00AF2C29">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项目评价类型</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jc w:val="center"/>
              <w:rPr>
                <w:rFonts w:ascii="仿宋_GB2312" w:eastAsia="仿宋_GB2312" w:hAnsi="宋体" w:cs="仿宋_GB2312"/>
                <w:color w:val="000000"/>
                <w:sz w:val="24"/>
                <w:szCs w:val="24"/>
              </w:rPr>
            </w:pPr>
          </w:p>
        </w:tc>
      </w:tr>
      <w:tr w:rsidR="00AF2C29">
        <w:trPr>
          <w:trHeight w:val="512"/>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项目评价结果</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jc w:val="center"/>
              <w:rPr>
                <w:rFonts w:ascii="仿宋_GB2312" w:eastAsia="仿宋_GB2312" w:hAnsi="宋体" w:cs="仿宋_GB2312"/>
                <w:color w:val="000000"/>
                <w:sz w:val="24"/>
                <w:szCs w:val="24"/>
              </w:rPr>
            </w:pPr>
          </w:p>
        </w:tc>
      </w:tr>
      <w:tr w:rsidR="00AF2C29">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rsidP="00BA6597">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一、主要绩效目标完成情况：该项目的产出指标和效益指标的实际值基本达到了预期目标。</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textAlignment w:val="center"/>
              <w:rPr>
                <w:rFonts w:ascii="宋体" w:eastAsia="宋体" w:hAnsi="宋体" w:cs="宋体"/>
                <w:color w:val="000000"/>
                <w:kern w:val="0"/>
                <w:sz w:val="24"/>
                <w:szCs w:val="24"/>
              </w:rPr>
            </w:pPr>
          </w:p>
        </w:tc>
      </w:tr>
      <w:tr w:rsidR="00AF2C29">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评价指标</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预期绩效指标（内容和值）</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指标完成情况</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差异说明</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jc w:val="center"/>
              <w:textAlignment w:val="center"/>
              <w:rPr>
                <w:rFonts w:ascii="宋体" w:eastAsia="宋体" w:hAnsi="宋体" w:cs="宋体"/>
                <w:color w:val="000000"/>
                <w:kern w:val="0"/>
                <w:sz w:val="24"/>
                <w:szCs w:val="24"/>
              </w:rPr>
            </w:pPr>
          </w:p>
        </w:tc>
      </w:tr>
      <w:tr w:rsidR="00AF2C29">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项目产出</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rsidP="00BA6597">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完成综治中心建设工作</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rsidP="00BA6597">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完成81个村社区、10个乡镇街道综治中心建设挂牌工作.</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由于经费和时间问题，综治中心建设有待加强，目前只完成挂牌工作，2018年继续加强建设。</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r>
      <w:tr w:rsidR="00AF2C29">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rsidP="00BA6597">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县强势推进“两车”智能防盗“铠甲卫士”建设筑牢“地网”，破解我县“两车”盗窃案件高发难题。</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rsidP="00BA6597">
            <w:pPr>
              <w:spacing w:line="560" w:lineRule="exact"/>
              <w:ind w:firstLineChars="250" w:firstLine="500"/>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全县共安装“两车”智能防盗系统基站</w:t>
            </w:r>
            <w:r>
              <w:rPr>
                <w:rFonts w:ascii="仿宋_GB2312" w:eastAsia="仿宋_GB2312" w:hAnsi="宋体" w:cs="仿宋_GB2312"/>
                <w:color w:val="000000"/>
                <w:sz w:val="20"/>
                <w:szCs w:val="20"/>
              </w:rPr>
              <w:t>454</w:t>
            </w:r>
            <w:r>
              <w:rPr>
                <w:rFonts w:ascii="仿宋_GB2312" w:eastAsia="仿宋_GB2312" w:hAnsi="宋体" w:cs="仿宋_GB2312" w:hint="eastAsia"/>
                <w:color w:val="000000"/>
                <w:sz w:val="20"/>
                <w:szCs w:val="20"/>
              </w:rPr>
              <w:t>台，车辆</w:t>
            </w:r>
            <w:r>
              <w:rPr>
                <w:rFonts w:ascii="仿宋_GB2312" w:eastAsia="仿宋_GB2312" w:hAnsi="宋体" w:cs="仿宋_GB2312"/>
                <w:color w:val="000000"/>
                <w:sz w:val="20"/>
                <w:szCs w:val="20"/>
              </w:rPr>
              <w:t>14635</w:t>
            </w:r>
            <w:r>
              <w:rPr>
                <w:rFonts w:ascii="仿宋_GB2312" w:eastAsia="仿宋_GB2312" w:hAnsi="宋体" w:cs="仿宋_GB2312" w:hint="eastAsia"/>
                <w:color w:val="000000"/>
                <w:sz w:val="20"/>
                <w:szCs w:val="20"/>
              </w:rPr>
              <w:t>辆，全县共立“两车”案件</w:t>
            </w:r>
            <w:r>
              <w:rPr>
                <w:rFonts w:ascii="仿宋_GB2312" w:eastAsia="仿宋_GB2312" w:hAnsi="宋体" w:cs="仿宋_GB2312"/>
                <w:color w:val="000000"/>
                <w:sz w:val="20"/>
                <w:szCs w:val="20"/>
              </w:rPr>
              <w:t>156</w:t>
            </w:r>
            <w:r>
              <w:rPr>
                <w:rFonts w:ascii="仿宋_GB2312" w:eastAsia="仿宋_GB2312" w:hAnsi="宋体" w:cs="仿宋_GB2312" w:hint="eastAsia"/>
                <w:color w:val="000000"/>
                <w:sz w:val="20"/>
                <w:szCs w:val="20"/>
              </w:rPr>
              <w:t>起，同比去年</w:t>
            </w:r>
            <w:r>
              <w:rPr>
                <w:rFonts w:ascii="仿宋_GB2312" w:eastAsia="仿宋_GB2312" w:hAnsi="宋体" w:cs="仿宋_GB2312"/>
                <w:color w:val="000000"/>
                <w:sz w:val="20"/>
                <w:szCs w:val="20"/>
              </w:rPr>
              <w:t>484</w:t>
            </w:r>
            <w:r>
              <w:rPr>
                <w:rFonts w:ascii="仿宋_GB2312" w:eastAsia="仿宋_GB2312" w:hAnsi="宋体" w:cs="仿宋_GB2312" w:hint="eastAsia"/>
                <w:color w:val="000000"/>
                <w:sz w:val="20"/>
                <w:szCs w:val="20"/>
              </w:rPr>
              <w:t>起下降</w:t>
            </w:r>
            <w:r>
              <w:rPr>
                <w:rFonts w:ascii="仿宋_GB2312" w:eastAsia="仿宋_GB2312" w:hAnsi="宋体" w:cs="仿宋_GB2312"/>
                <w:color w:val="000000"/>
                <w:sz w:val="20"/>
                <w:szCs w:val="20"/>
              </w:rPr>
              <w:t>67.77%</w:t>
            </w:r>
            <w:r>
              <w:rPr>
                <w:rFonts w:ascii="仿宋_GB2312" w:eastAsia="仿宋_GB2312" w:hAnsi="宋体" w:cs="仿宋_GB2312" w:hint="eastAsia"/>
                <w:color w:val="000000"/>
                <w:sz w:val="20"/>
                <w:szCs w:val="20"/>
              </w:rPr>
              <w:t>；破案</w:t>
            </w:r>
            <w:r>
              <w:rPr>
                <w:rFonts w:ascii="仿宋_GB2312" w:eastAsia="仿宋_GB2312" w:hAnsi="宋体" w:cs="仿宋_GB2312"/>
                <w:color w:val="000000"/>
                <w:sz w:val="20"/>
                <w:szCs w:val="20"/>
              </w:rPr>
              <w:t>94</w:t>
            </w:r>
            <w:r>
              <w:rPr>
                <w:rFonts w:ascii="仿宋_GB2312" w:eastAsia="仿宋_GB2312" w:hAnsi="宋体" w:cs="仿宋_GB2312" w:hint="eastAsia"/>
                <w:color w:val="000000"/>
                <w:sz w:val="20"/>
                <w:szCs w:val="20"/>
              </w:rPr>
              <w:t>起，破</w:t>
            </w:r>
            <w:r>
              <w:rPr>
                <w:rFonts w:ascii="仿宋_GB2312" w:eastAsia="仿宋_GB2312" w:hAnsi="宋体" w:cs="仿宋_GB2312" w:hint="eastAsia"/>
                <w:color w:val="000000"/>
                <w:sz w:val="20"/>
                <w:szCs w:val="20"/>
              </w:rPr>
              <w:lastRenderedPageBreak/>
              <w:t>案率达</w:t>
            </w:r>
            <w:r>
              <w:rPr>
                <w:rFonts w:ascii="仿宋_GB2312" w:eastAsia="仿宋_GB2312" w:hAnsi="宋体" w:cs="仿宋_GB2312"/>
                <w:color w:val="000000"/>
                <w:sz w:val="20"/>
                <w:szCs w:val="20"/>
              </w:rPr>
              <w:t>60.26%</w:t>
            </w:r>
            <w:r>
              <w:rPr>
                <w:rFonts w:ascii="仿宋_GB2312" w:eastAsia="仿宋_GB2312" w:hAnsi="宋体" w:cs="仿宋_GB2312" w:hint="eastAsia"/>
                <w:color w:val="000000"/>
                <w:sz w:val="20"/>
                <w:szCs w:val="20"/>
              </w:rPr>
              <w:t>，其中安装防盗卡“两车”被盗案件</w:t>
            </w:r>
            <w:r>
              <w:rPr>
                <w:rFonts w:ascii="仿宋_GB2312" w:eastAsia="仿宋_GB2312" w:hAnsi="宋体" w:cs="仿宋_GB2312"/>
                <w:color w:val="000000"/>
                <w:sz w:val="20"/>
                <w:szCs w:val="20"/>
              </w:rPr>
              <w:t>35</w:t>
            </w:r>
            <w:r>
              <w:rPr>
                <w:rFonts w:ascii="仿宋_GB2312" w:eastAsia="仿宋_GB2312" w:hAnsi="宋体" w:cs="仿宋_GB2312" w:hint="eastAsia"/>
                <w:color w:val="000000"/>
                <w:sz w:val="20"/>
                <w:szCs w:val="20"/>
              </w:rPr>
              <w:t>起，破</w:t>
            </w:r>
            <w:r>
              <w:rPr>
                <w:rFonts w:ascii="仿宋_GB2312" w:eastAsia="仿宋_GB2312" w:hAnsi="宋体" w:cs="仿宋_GB2312"/>
                <w:color w:val="000000"/>
                <w:sz w:val="20"/>
                <w:szCs w:val="20"/>
              </w:rPr>
              <w:t>35</w:t>
            </w:r>
            <w:r>
              <w:rPr>
                <w:rFonts w:ascii="仿宋_GB2312" w:eastAsia="仿宋_GB2312" w:hAnsi="宋体" w:cs="仿宋_GB2312" w:hint="eastAsia"/>
                <w:color w:val="000000"/>
                <w:sz w:val="20"/>
                <w:szCs w:val="20"/>
              </w:rPr>
              <w:t>起，追回被盗车辆</w:t>
            </w:r>
            <w:r>
              <w:rPr>
                <w:rFonts w:ascii="仿宋_GB2312" w:eastAsia="仿宋_GB2312" w:hAnsi="宋体" w:cs="仿宋_GB2312"/>
                <w:color w:val="000000"/>
                <w:sz w:val="20"/>
                <w:szCs w:val="20"/>
              </w:rPr>
              <w:t>35</w:t>
            </w:r>
            <w:r>
              <w:rPr>
                <w:rFonts w:ascii="仿宋_GB2312" w:eastAsia="仿宋_GB2312" w:hAnsi="宋体" w:cs="仿宋_GB2312" w:hint="eastAsia"/>
                <w:color w:val="000000"/>
                <w:sz w:val="20"/>
                <w:szCs w:val="20"/>
              </w:rPr>
              <w:t>辆，破案率达</w:t>
            </w:r>
            <w:r>
              <w:rPr>
                <w:rFonts w:ascii="仿宋_GB2312" w:eastAsia="仿宋_GB2312" w:hAnsi="宋体" w:cs="仿宋_GB2312"/>
                <w:color w:val="000000"/>
                <w:sz w:val="20"/>
                <w:szCs w:val="20"/>
              </w:rPr>
              <w:t>100%</w:t>
            </w:r>
            <w:r>
              <w:rPr>
                <w:rFonts w:ascii="仿宋_GB2312" w:eastAsia="仿宋_GB2312" w:hAnsi="宋体" w:cs="仿宋_GB2312" w:hint="eastAsia"/>
                <w:color w:val="000000"/>
                <w:sz w:val="20"/>
                <w:szCs w:val="20"/>
              </w:rPr>
              <w:t>，追赃率达</w:t>
            </w:r>
            <w:r>
              <w:rPr>
                <w:rFonts w:ascii="仿宋_GB2312" w:eastAsia="仿宋_GB2312" w:hAnsi="宋体" w:cs="仿宋_GB2312"/>
                <w:color w:val="000000"/>
                <w:sz w:val="20"/>
                <w:szCs w:val="20"/>
              </w:rPr>
              <w:t>100%</w:t>
            </w:r>
            <w:r>
              <w:rPr>
                <w:rFonts w:ascii="仿宋_GB2312" w:eastAsia="仿宋_GB2312" w:hAnsi="宋体" w:cs="仿宋_GB2312" w:hint="eastAsia"/>
                <w:color w:val="000000"/>
                <w:sz w:val="20"/>
                <w:szCs w:val="20"/>
              </w:rPr>
              <w:t>。</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r>
      <w:tr w:rsidR="00AF2C29">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rsidP="00BA6597">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提升了社会治理的智能化水平，人民群众安全感满意度稳步提升</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Pr="00BA6597" w:rsidRDefault="000A5130" w:rsidP="00BA6597">
            <w:pPr>
              <w:rPr>
                <w:rFonts w:eastAsia="仿宋_GB2312" w:cs="仿宋_GB2312"/>
                <w:color w:val="000000"/>
                <w:sz w:val="20"/>
                <w:szCs w:val="20"/>
              </w:rPr>
            </w:pPr>
            <w:r>
              <w:rPr>
                <w:rFonts w:ascii="仿宋_GB2312" w:eastAsia="仿宋_GB2312" w:hAnsi="宋体" w:cs="仿宋_GB2312" w:hint="eastAsia"/>
                <w:color w:val="000000"/>
                <w:sz w:val="20"/>
                <w:szCs w:val="20"/>
              </w:rPr>
              <w:t>在全省</w:t>
            </w:r>
            <w:r>
              <w:rPr>
                <w:rFonts w:ascii="仿宋_GB2312" w:eastAsia="仿宋_GB2312" w:hAnsi="宋体" w:cs="仿宋_GB2312"/>
                <w:color w:val="000000"/>
                <w:sz w:val="20"/>
                <w:szCs w:val="20"/>
              </w:rPr>
              <w:t>129</w:t>
            </w:r>
            <w:r>
              <w:rPr>
                <w:rFonts w:ascii="仿宋_GB2312" w:eastAsia="仿宋_GB2312" w:hAnsi="宋体" w:cs="仿宋_GB2312" w:hint="eastAsia"/>
                <w:color w:val="000000"/>
                <w:sz w:val="20"/>
                <w:szCs w:val="20"/>
              </w:rPr>
              <w:t>个县（市、区）的排名从</w:t>
            </w:r>
            <w:r>
              <w:rPr>
                <w:rFonts w:ascii="仿宋_GB2312" w:eastAsia="仿宋_GB2312" w:hAnsi="宋体" w:cs="仿宋_GB2312"/>
                <w:color w:val="000000"/>
                <w:sz w:val="20"/>
                <w:szCs w:val="20"/>
              </w:rPr>
              <w:t>2012</w:t>
            </w:r>
            <w:r>
              <w:rPr>
                <w:rFonts w:ascii="仿宋_GB2312" w:eastAsia="仿宋_GB2312" w:hAnsi="宋体" w:cs="仿宋_GB2312" w:hint="eastAsia"/>
                <w:color w:val="000000"/>
                <w:sz w:val="20"/>
                <w:szCs w:val="20"/>
              </w:rPr>
              <w:t>年的</w:t>
            </w:r>
            <w:r>
              <w:rPr>
                <w:rFonts w:ascii="仿宋_GB2312" w:eastAsia="仿宋_GB2312" w:hAnsi="宋体" w:cs="仿宋_GB2312"/>
                <w:color w:val="000000"/>
                <w:sz w:val="20"/>
                <w:szCs w:val="20"/>
              </w:rPr>
              <w:t>111</w:t>
            </w:r>
            <w:r>
              <w:rPr>
                <w:rFonts w:ascii="仿宋_GB2312" w:eastAsia="仿宋_GB2312" w:hAnsi="宋体" w:cs="仿宋_GB2312" w:hint="eastAsia"/>
                <w:color w:val="000000"/>
                <w:sz w:val="20"/>
                <w:szCs w:val="20"/>
              </w:rPr>
              <w:t>，到</w:t>
            </w:r>
            <w:r>
              <w:rPr>
                <w:rFonts w:ascii="仿宋_GB2312" w:eastAsia="仿宋_GB2312" w:hAnsi="宋体" w:cs="仿宋_GB2312"/>
                <w:color w:val="000000"/>
                <w:sz w:val="20"/>
                <w:szCs w:val="20"/>
              </w:rPr>
              <w:t>2013</w:t>
            </w:r>
            <w:r>
              <w:rPr>
                <w:rFonts w:ascii="仿宋_GB2312" w:eastAsia="仿宋_GB2312" w:hAnsi="宋体" w:cs="仿宋_GB2312" w:hint="eastAsia"/>
                <w:color w:val="000000"/>
                <w:sz w:val="20"/>
                <w:szCs w:val="20"/>
              </w:rPr>
              <w:t>年的</w:t>
            </w:r>
            <w:r>
              <w:rPr>
                <w:rFonts w:ascii="仿宋_GB2312" w:eastAsia="仿宋_GB2312" w:hAnsi="宋体" w:cs="仿宋_GB2312"/>
                <w:color w:val="000000"/>
                <w:sz w:val="20"/>
                <w:szCs w:val="20"/>
              </w:rPr>
              <w:t>89</w:t>
            </w:r>
            <w:r>
              <w:rPr>
                <w:rFonts w:ascii="仿宋_GB2312" w:eastAsia="仿宋_GB2312" w:hAnsi="宋体" w:cs="仿宋_GB2312" w:hint="eastAsia"/>
                <w:color w:val="000000"/>
                <w:sz w:val="20"/>
                <w:szCs w:val="20"/>
              </w:rPr>
              <w:t>位、</w:t>
            </w:r>
            <w:r>
              <w:rPr>
                <w:rFonts w:ascii="仿宋_GB2312" w:eastAsia="仿宋_GB2312" w:hAnsi="宋体" w:cs="仿宋_GB2312"/>
                <w:color w:val="000000"/>
                <w:sz w:val="20"/>
                <w:szCs w:val="20"/>
              </w:rPr>
              <w:t>2014</w:t>
            </w:r>
            <w:r>
              <w:rPr>
                <w:rFonts w:ascii="仿宋_GB2312" w:eastAsia="仿宋_GB2312" w:hAnsi="宋体" w:cs="仿宋_GB2312" w:hint="eastAsia"/>
                <w:color w:val="000000"/>
                <w:sz w:val="20"/>
                <w:szCs w:val="20"/>
              </w:rPr>
              <w:t>年的</w:t>
            </w:r>
            <w:r>
              <w:rPr>
                <w:rFonts w:ascii="仿宋_GB2312" w:eastAsia="仿宋_GB2312" w:hAnsi="宋体" w:cs="仿宋_GB2312"/>
                <w:color w:val="000000"/>
                <w:sz w:val="20"/>
                <w:szCs w:val="20"/>
              </w:rPr>
              <w:t>67</w:t>
            </w:r>
            <w:r>
              <w:rPr>
                <w:rFonts w:ascii="仿宋_GB2312" w:eastAsia="仿宋_GB2312" w:hAnsi="宋体" w:cs="仿宋_GB2312" w:hint="eastAsia"/>
                <w:color w:val="000000"/>
                <w:sz w:val="20"/>
                <w:szCs w:val="20"/>
              </w:rPr>
              <w:t>位、</w:t>
            </w:r>
            <w:r>
              <w:rPr>
                <w:rFonts w:ascii="仿宋_GB2312" w:eastAsia="仿宋_GB2312" w:hAnsi="宋体" w:cs="仿宋_GB2312"/>
                <w:color w:val="000000"/>
                <w:sz w:val="20"/>
                <w:szCs w:val="20"/>
              </w:rPr>
              <w:t>2015</w:t>
            </w:r>
            <w:r>
              <w:rPr>
                <w:rFonts w:ascii="仿宋_GB2312" w:eastAsia="仿宋_GB2312" w:hAnsi="宋体" w:cs="仿宋_GB2312" w:hint="eastAsia"/>
                <w:color w:val="000000"/>
                <w:sz w:val="20"/>
                <w:szCs w:val="20"/>
              </w:rPr>
              <w:t>年的</w:t>
            </w:r>
            <w:r>
              <w:rPr>
                <w:rFonts w:ascii="仿宋_GB2312" w:eastAsia="仿宋_GB2312" w:hAnsi="宋体" w:cs="仿宋_GB2312"/>
                <w:color w:val="000000"/>
                <w:sz w:val="20"/>
                <w:szCs w:val="20"/>
              </w:rPr>
              <w:t>52</w:t>
            </w:r>
            <w:r>
              <w:rPr>
                <w:rFonts w:ascii="仿宋_GB2312" w:eastAsia="仿宋_GB2312" w:hAnsi="宋体" w:cs="仿宋_GB2312" w:hint="eastAsia"/>
                <w:color w:val="000000"/>
                <w:sz w:val="20"/>
                <w:szCs w:val="20"/>
              </w:rPr>
              <w:t>位、</w:t>
            </w:r>
            <w:r>
              <w:rPr>
                <w:rFonts w:ascii="仿宋_GB2312" w:eastAsia="仿宋_GB2312" w:hAnsi="宋体" w:cs="仿宋_GB2312"/>
                <w:color w:val="000000"/>
                <w:sz w:val="20"/>
                <w:szCs w:val="20"/>
              </w:rPr>
              <w:t>2016</w:t>
            </w:r>
            <w:r>
              <w:rPr>
                <w:rFonts w:ascii="仿宋_GB2312" w:eastAsia="仿宋_GB2312" w:hAnsi="宋体" w:cs="仿宋_GB2312" w:hint="eastAsia"/>
                <w:color w:val="000000"/>
                <w:sz w:val="20"/>
                <w:szCs w:val="20"/>
              </w:rPr>
              <w:t>年的</w:t>
            </w:r>
            <w:r>
              <w:rPr>
                <w:rFonts w:ascii="仿宋_GB2312" w:eastAsia="仿宋_GB2312" w:hAnsi="宋体" w:cs="仿宋_GB2312"/>
                <w:color w:val="000000"/>
                <w:sz w:val="20"/>
                <w:szCs w:val="20"/>
              </w:rPr>
              <w:t>29</w:t>
            </w:r>
            <w:r>
              <w:rPr>
                <w:rFonts w:ascii="仿宋_GB2312" w:eastAsia="仿宋_GB2312" w:hAnsi="宋体" w:cs="仿宋_GB2312" w:hint="eastAsia"/>
                <w:color w:val="000000"/>
                <w:sz w:val="20"/>
                <w:szCs w:val="20"/>
              </w:rPr>
              <w:t>位，连续四年高位提升</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r>
      <w:tr w:rsidR="00AF2C29">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项目效益</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rsidP="00BA6597">
            <w:pPr>
              <w:spacing w:line="560" w:lineRule="exact"/>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充分发挥县、乡镇（街道）、村（社区）、组四级矛盾纠纷大调解平台，深入开展矛盾纠纷排查调处工作</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rsidP="00BA6597">
            <w:pPr>
              <w:spacing w:line="560" w:lineRule="exact"/>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矛盾纠纷调解成功率</w:t>
            </w:r>
            <w:r>
              <w:rPr>
                <w:rFonts w:ascii="仿宋_GB2312" w:eastAsia="仿宋_GB2312" w:hAnsi="宋体" w:cs="仿宋_GB2312"/>
                <w:color w:val="000000"/>
                <w:sz w:val="20"/>
                <w:szCs w:val="20"/>
              </w:rPr>
              <w:t>96.6%</w:t>
            </w:r>
            <w:r>
              <w:rPr>
                <w:rFonts w:ascii="仿宋_GB2312" w:eastAsia="仿宋_GB2312" w:hAnsi="宋体" w:cs="仿宋_GB2312" w:hint="eastAsia"/>
                <w:color w:val="000000"/>
                <w:sz w:val="20"/>
                <w:szCs w:val="20"/>
              </w:rPr>
              <w:t>；信访问题比去年同期下降</w:t>
            </w:r>
            <w:r>
              <w:rPr>
                <w:rFonts w:ascii="仿宋_GB2312" w:eastAsia="仿宋_GB2312" w:hAnsi="宋体" w:cs="仿宋_GB2312"/>
                <w:color w:val="000000"/>
                <w:sz w:val="20"/>
                <w:szCs w:val="20"/>
              </w:rPr>
              <w:t>28%</w:t>
            </w:r>
            <w:r>
              <w:rPr>
                <w:rFonts w:ascii="仿宋_GB2312" w:eastAsia="仿宋_GB2312" w:hAnsi="宋体" w:cs="仿宋_GB2312" w:hint="eastAsia"/>
                <w:color w:val="000000"/>
                <w:sz w:val="20"/>
                <w:szCs w:val="20"/>
              </w:rPr>
              <w:t>；</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r>
      <w:tr w:rsidR="00AF2C29">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Pr="00BA6597" w:rsidRDefault="000A5130" w:rsidP="00BA6597">
            <w:pPr>
              <w:rPr>
                <w:rFonts w:eastAsia="仿宋_GB2312" w:cs="仿宋_GB2312"/>
                <w:color w:val="000000"/>
                <w:sz w:val="20"/>
                <w:szCs w:val="20"/>
              </w:rPr>
            </w:pPr>
            <w:r>
              <w:rPr>
                <w:rFonts w:ascii="仿宋_GB2312" w:eastAsia="仿宋_GB2312" w:hAnsi="宋体" w:cs="仿宋_GB2312" w:hint="eastAsia"/>
                <w:color w:val="000000"/>
                <w:sz w:val="20"/>
                <w:szCs w:val="20"/>
              </w:rPr>
              <w:t>共立刑事案件</w:t>
            </w:r>
            <w:r>
              <w:rPr>
                <w:rFonts w:ascii="仿宋_GB2312" w:eastAsia="仿宋_GB2312" w:hAnsi="宋体" w:cs="仿宋_GB2312"/>
                <w:color w:val="000000"/>
                <w:sz w:val="20"/>
                <w:szCs w:val="20"/>
              </w:rPr>
              <w:t>665</w:t>
            </w:r>
            <w:r>
              <w:rPr>
                <w:rFonts w:ascii="仿宋_GB2312" w:eastAsia="仿宋_GB2312" w:hAnsi="宋体" w:cs="仿宋_GB2312" w:hint="eastAsia"/>
                <w:color w:val="000000"/>
                <w:sz w:val="20"/>
                <w:szCs w:val="20"/>
              </w:rPr>
              <w:t>起，同比下降</w:t>
            </w:r>
            <w:r>
              <w:rPr>
                <w:rFonts w:ascii="仿宋_GB2312" w:eastAsia="仿宋_GB2312" w:hAnsi="宋体" w:cs="仿宋_GB2312"/>
                <w:color w:val="000000"/>
                <w:sz w:val="20"/>
                <w:szCs w:val="20"/>
              </w:rPr>
              <w:t>35.4%</w:t>
            </w:r>
            <w:r>
              <w:rPr>
                <w:rFonts w:ascii="仿宋_GB2312" w:eastAsia="仿宋_GB2312" w:hAnsi="宋体" w:cs="仿宋_GB2312" w:hint="eastAsia"/>
                <w:color w:val="000000"/>
                <w:sz w:val="20"/>
                <w:szCs w:val="20"/>
              </w:rPr>
              <w:t>；立命案</w:t>
            </w:r>
            <w:r>
              <w:rPr>
                <w:rFonts w:ascii="仿宋_GB2312" w:eastAsia="仿宋_GB2312" w:hAnsi="宋体" w:cs="仿宋_GB2312"/>
                <w:color w:val="000000"/>
                <w:sz w:val="20"/>
                <w:szCs w:val="20"/>
              </w:rPr>
              <w:t>4</w:t>
            </w:r>
            <w:r>
              <w:rPr>
                <w:rFonts w:ascii="仿宋_GB2312" w:eastAsia="仿宋_GB2312" w:hAnsi="宋体" w:cs="仿宋_GB2312" w:hint="eastAsia"/>
                <w:color w:val="000000"/>
                <w:sz w:val="20"/>
                <w:szCs w:val="20"/>
              </w:rPr>
              <w:t>起破</w:t>
            </w:r>
            <w:r>
              <w:rPr>
                <w:rFonts w:ascii="仿宋_GB2312" w:eastAsia="仿宋_GB2312" w:hAnsi="宋体" w:cs="仿宋_GB2312"/>
                <w:color w:val="000000"/>
                <w:sz w:val="20"/>
                <w:szCs w:val="20"/>
              </w:rPr>
              <w:t>4</w:t>
            </w:r>
            <w:r>
              <w:rPr>
                <w:rFonts w:ascii="仿宋_GB2312" w:eastAsia="仿宋_GB2312" w:hAnsi="宋体" w:cs="仿宋_GB2312" w:hint="eastAsia"/>
                <w:color w:val="000000"/>
                <w:sz w:val="20"/>
                <w:szCs w:val="20"/>
              </w:rPr>
              <w:t>起</w:t>
            </w:r>
            <w:r>
              <w:rPr>
                <w:rFonts w:ascii="仿宋_GB2312" w:eastAsia="仿宋_GB2312" w:hAnsi="宋体" w:cs="仿宋_GB2312"/>
                <w:color w:val="000000"/>
                <w:sz w:val="20"/>
                <w:szCs w:val="20"/>
              </w:rPr>
              <w:t>,</w:t>
            </w:r>
            <w:r>
              <w:rPr>
                <w:rFonts w:ascii="仿宋_GB2312" w:eastAsia="仿宋_GB2312" w:hAnsi="宋体" w:cs="仿宋_GB2312" w:hint="eastAsia"/>
                <w:color w:val="000000"/>
                <w:sz w:val="20"/>
                <w:szCs w:val="20"/>
              </w:rPr>
              <w:t>同比下降</w:t>
            </w:r>
            <w:r>
              <w:rPr>
                <w:rFonts w:ascii="仿宋_GB2312" w:eastAsia="仿宋_GB2312" w:hAnsi="宋体" w:cs="仿宋_GB2312"/>
                <w:color w:val="000000"/>
                <w:sz w:val="20"/>
                <w:szCs w:val="20"/>
              </w:rPr>
              <w:t>33.3%</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rsidP="00BA6597">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共立刑事案件</w:t>
            </w:r>
            <w:r>
              <w:rPr>
                <w:rFonts w:ascii="仿宋_GB2312" w:eastAsia="仿宋_GB2312" w:hAnsi="宋体" w:cs="仿宋_GB2312"/>
                <w:color w:val="000000"/>
                <w:sz w:val="20"/>
                <w:szCs w:val="20"/>
              </w:rPr>
              <w:t>665</w:t>
            </w:r>
            <w:r>
              <w:rPr>
                <w:rFonts w:ascii="仿宋_GB2312" w:eastAsia="仿宋_GB2312" w:hAnsi="宋体" w:cs="仿宋_GB2312" w:hint="eastAsia"/>
                <w:color w:val="000000"/>
                <w:sz w:val="20"/>
                <w:szCs w:val="20"/>
              </w:rPr>
              <w:t>起，同比下降</w:t>
            </w:r>
            <w:r>
              <w:rPr>
                <w:rFonts w:ascii="仿宋_GB2312" w:eastAsia="仿宋_GB2312" w:hAnsi="宋体" w:cs="仿宋_GB2312"/>
                <w:color w:val="000000"/>
                <w:sz w:val="20"/>
                <w:szCs w:val="20"/>
              </w:rPr>
              <w:t>35.4%</w:t>
            </w:r>
            <w:r>
              <w:rPr>
                <w:rFonts w:ascii="仿宋_GB2312" w:eastAsia="仿宋_GB2312" w:hAnsi="宋体" w:cs="仿宋_GB2312" w:hint="eastAsia"/>
                <w:color w:val="000000"/>
                <w:sz w:val="20"/>
                <w:szCs w:val="20"/>
              </w:rPr>
              <w:t>；立命案</w:t>
            </w:r>
            <w:r>
              <w:rPr>
                <w:rFonts w:ascii="仿宋_GB2312" w:eastAsia="仿宋_GB2312" w:hAnsi="宋体" w:cs="仿宋_GB2312"/>
                <w:color w:val="000000"/>
                <w:sz w:val="20"/>
                <w:szCs w:val="20"/>
              </w:rPr>
              <w:t>4</w:t>
            </w:r>
            <w:r>
              <w:rPr>
                <w:rFonts w:ascii="仿宋_GB2312" w:eastAsia="仿宋_GB2312" w:hAnsi="宋体" w:cs="仿宋_GB2312" w:hint="eastAsia"/>
                <w:color w:val="000000"/>
                <w:sz w:val="20"/>
                <w:szCs w:val="20"/>
              </w:rPr>
              <w:t>起破</w:t>
            </w:r>
            <w:r>
              <w:rPr>
                <w:rFonts w:ascii="仿宋_GB2312" w:eastAsia="仿宋_GB2312" w:hAnsi="宋体" w:cs="仿宋_GB2312"/>
                <w:color w:val="000000"/>
                <w:sz w:val="20"/>
                <w:szCs w:val="20"/>
              </w:rPr>
              <w:t>4</w:t>
            </w:r>
            <w:r>
              <w:rPr>
                <w:rFonts w:ascii="仿宋_GB2312" w:eastAsia="仿宋_GB2312" w:hAnsi="宋体" w:cs="仿宋_GB2312" w:hint="eastAsia"/>
                <w:color w:val="000000"/>
                <w:sz w:val="20"/>
                <w:szCs w:val="20"/>
              </w:rPr>
              <w:t>起</w:t>
            </w:r>
            <w:r>
              <w:rPr>
                <w:rFonts w:ascii="仿宋_GB2312" w:eastAsia="仿宋_GB2312" w:hAnsi="宋体" w:cs="仿宋_GB2312"/>
                <w:color w:val="000000"/>
                <w:sz w:val="20"/>
                <w:szCs w:val="20"/>
              </w:rPr>
              <w:t>,</w:t>
            </w:r>
            <w:r>
              <w:rPr>
                <w:rFonts w:ascii="仿宋_GB2312" w:eastAsia="仿宋_GB2312" w:hAnsi="宋体" w:cs="仿宋_GB2312" w:hint="eastAsia"/>
                <w:color w:val="000000"/>
                <w:sz w:val="20"/>
                <w:szCs w:val="20"/>
              </w:rPr>
              <w:t>同比下降</w:t>
            </w:r>
            <w:r>
              <w:rPr>
                <w:rFonts w:ascii="仿宋_GB2312" w:eastAsia="仿宋_GB2312" w:hAnsi="宋体" w:cs="仿宋_GB2312"/>
                <w:color w:val="000000"/>
                <w:sz w:val="20"/>
                <w:szCs w:val="20"/>
              </w:rPr>
              <w:t>33.3%</w:t>
            </w:r>
            <w:r>
              <w:rPr>
                <w:rFonts w:ascii="仿宋_GB2312" w:eastAsia="仿宋_GB2312" w:hAnsi="宋体" w:cs="仿宋_GB2312" w:hint="eastAsia"/>
                <w:color w:val="000000"/>
                <w:sz w:val="20"/>
                <w:szCs w:val="20"/>
              </w:rPr>
              <w:t>；</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r>
      <w:tr w:rsidR="00AF2C29">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rsidP="00BA6597">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为进一步预防和减少摩托车、电动自行车被盗案件发生，有效提升公安机关“两车”案件破案率、追赃率，巩固和完善元江县社会治安防控体系建设，全力维护人民群众财产安全，启动“两车”智能防盗系统建设工作</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rsidP="00BA6597">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全县共安装“两车”智能防盗系统基站</w:t>
            </w:r>
            <w:r>
              <w:rPr>
                <w:rFonts w:ascii="仿宋_GB2312" w:eastAsia="仿宋_GB2312" w:hAnsi="宋体" w:cs="仿宋_GB2312"/>
                <w:color w:val="000000"/>
                <w:sz w:val="20"/>
                <w:szCs w:val="20"/>
              </w:rPr>
              <w:t>454</w:t>
            </w:r>
            <w:r>
              <w:rPr>
                <w:rFonts w:ascii="仿宋_GB2312" w:eastAsia="仿宋_GB2312" w:hAnsi="宋体" w:cs="仿宋_GB2312" w:hint="eastAsia"/>
                <w:color w:val="000000"/>
                <w:sz w:val="20"/>
                <w:szCs w:val="20"/>
              </w:rPr>
              <w:t>台，车辆</w:t>
            </w:r>
            <w:r>
              <w:rPr>
                <w:rFonts w:ascii="仿宋_GB2312" w:eastAsia="仿宋_GB2312" w:hAnsi="宋体" w:cs="仿宋_GB2312"/>
                <w:color w:val="000000"/>
                <w:sz w:val="20"/>
                <w:szCs w:val="20"/>
              </w:rPr>
              <w:t>14635</w:t>
            </w:r>
            <w:r>
              <w:rPr>
                <w:rFonts w:ascii="仿宋_GB2312" w:eastAsia="仿宋_GB2312" w:hAnsi="宋体" w:cs="仿宋_GB2312" w:hint="eastAsia"/>
                <w:color w:val="000000"/>
                <w:sz w:val="20"/>
                <w:szCs w:val="20"/>
              </w:rPr>
              <w:t>辆，全县共立“两车”案件</w:t>
            </w:r>
            <w:r>
              <w:rPr>
                <w:rFonts w:ascii="仿宋_GB2312" w:eastAsia="仿宋_GB2312" w:hAnsi="宋体" w:cs="仿宋_GB2312"/>
                <w:color w:val="000000"/>
                <w:sz w:val="20"/>
                <w:szCs w:val="20"/>
              </w:rPr>
              <w:t>156</w:t>
            </w:r>
            <w:r>
              <w:rPr>
                <w:rFonts w:ascii="仿宋_GB2312" w:eastAsia="仿宋_GB2312" w:hAnsi="宋体" w:cs="仿宋_GB2312" w:hint="eastAsia"/>
                <w:color w:val="000000"/>
                <w:sz w:val="20"/>
                <w:szCs w:val="20"/>
              </w:rPr>
              <w:t>起，同比去年</w:t>
            </w:r>
            <w:r>
              <w:rPr>
                <w:rFonts w:ascii="仿宋_GB2312" w:eastAsia="仿宋_GB2312" w:hAnsi="宋体" w:cs="仿宋_GB2312"/>
                <w:color w:val="000000"/>
                <w:sz w:val="20"/>
                <w:szCs w:val="20"/>
              </w:rPr>
              <w:t>484</w:t>
            </w:r>
            <w:r>
              <w:rPr>
                <w:rFonts w:ascii="仿宋_GB2312" w:eastAsia="仿宋_GB2312" w:hAnsi="宋体" w:cs="仿宋_GB2312" w:hint="eastAsia"/>
                <w:color w:val="000000"/>
                <w:sz w:val="20"/>
                <w:szCs w:val="20"/>
              </w:rPr>
              <w:t>起下降</w:t>
            </w:r>
            <w:r>
              <w:rPr>
                <w:rFonts w:ascii="仿宋_GB2312" w:eastAsia="仿宋_GB2312" w:hAnsi="宋体" w:cs="仿宋_GB2312"/>
                <w:color w:val="000000"/>
                <w:sz w:val="20"/>
                <w:szCs w:val="20"/>
              </w:rPr>
              <w:t>67.77%</w:t>
            </w:r>
            <w:r>
              <w:rPr>
                <w:rFonts w:ascii="仿宋_GB2312" w:eastAsia="仿宋_GB2312" w:hAnsi="宋体" w:cs="仿宋_GB2312" w:hint="eastAsia"/>
                <w:color w:val="000000"/>
                <w:sz w:val="20"/>
                <w:szCs w:val="20"/>
              </w:rPr>
              <w:t>；破案</w:t>
            </w:r>
            <w:r>
              <w:rPr>
                <w:rFonts w:ascii="仿宋_GB2312" w:eastAsia="仿宋_GB2312" w:hAnsi="宋体" w:cs="仿宋_GB2312"/>
                <w:color w:val="000000"/>
                <w:sz w:val="20"/>
                <w:szCs w:val="20"/>
              </w:rPr>
              <w:t>94</w:t>
            </w:r>
            <w:r>
              <w:rPr>
                <w:rFonts w:ascii="仿宋_GB2312" w:eastAsia="仿宋_GB2312" w:hAnsi="宋体" w:cs="仿宋_GB2312" w:hint="eastAsia"/>
                <w:color w:val="000000"/>
                <w:sz w:val="20"/>
                <w:szCs w:val="20"/>
              </w:rPr>
              <w:t>起，破案率达</w:t>
            </w:r>
            <w:r>
              <w:rPr>
                <w:rFonts w:ascii="仿宋_GB2312" w:eastAsia="仿宋_GB2312" w:hAnsi="宋体" w:cs="仿宋_GB2312"/>
                <w:color w:val="000000"/>
                <w:sz w:val="20"/>
                <w:szCs w:val="20"/>
              </w:rPr>
              <w:t>60.26%</w:t>
            </w:r>
            <w:r>
              <w:rPr>
                <w:rFonts w:ascii="仿宋_GB2312" w:eastAsia="仿宋_GB2312" w:hAnsi="宋体" w:cs="仿宋_GB2312" w:hint="eastAsia"/>
                <w:color w:val="000000"/>
                <w:sz w:val="20"/>
                <w:szCs w:val="20"/>
              </w:rPr>
              <w:t>，其中安装防盗卡“两车”被盗案件</w:t>
            </w:r>
            <w:r>
              <w:rPr>
                <w:rFonts w:ascii="仿宋_GB2312" w:eastAsia="仿宋_GB2312" w:hAnsi="宋体" w:cs="仿宋_GB2312"/>
                <w:color w:val="000000"/>
                <w:sz w:val="20"/>
                <w:szCs w:val="20"/>
              </w:rPr>
              <w:t>35</w:t>
            </w:r>
            <w:r>
              <w:rPr>
                <w:rFonts w:ascii="仿宋_GB2312" w:eastAsia="仿宋_GB2312" w:hAnsi="宋体" w:cs="仿宋_GB2312" w:hint="eastAsia"/>
                <w:color w:val="000000"/>
                <w:sz w:val="20"/>
                <w:szCs w:val="20"/>
              </w:rPr>
              <w:t>起，破</w:t>
            </w:r>
            <w:r>
              <w:rPr>
                <w:rFonts w:ascii="仿宋_GB2312" w:eastAsia="仿宋_GB2312" w:hAnsi="宋体" w:cs="仿宋_GB2312"/>
                <w:color w:val="000000"/>
                <w:sz w:val="20"/>
                <w:szCs w:val="20"/>
              </w:rPr>
              <w:t>35</w:t>
            </w:r>
            <w:r>
              <w:rPr>
                <w:rFonts w:ascii="仿宋_GB2312" w:eastAsia="仿宋_GB2312" w:hAnsi="宋体" w:cs="仿宋_GB2312" w:hint="eastAsia"/>
                <w:color w:val="000000"/>
                <w:sz w:val="20"/>
                <w:szCs w:val="20"/>
              </w:rPr>
              <w:t>起，追回被盗车辆</w:t>
            </w:r>
            <w:r>
              <w:rPr>
                <w:rFonts w:ascii="仿宋_GB2312" w:eastAsia="仿宋_GB2312" w:hAnsi="宋体" w:cs="仿宋_GB2312"/>
                <w:color w:val="000000"/>
                <w:sz w:val="20"/>
                <w:szCs w:val="20"/>
              </w:rPr>
              <w:t>35</w:t>
            </w:r>
            <w:r>
              <w:rPr>
                <w:rFonts w:ascii="仿宋_GB2312" w:eastAsia="仿宋_GB2312" w:hAnsi="宋体" w:cs="仿宋_GB2312" w:hint="eastAsia"/>
                <w:color w:val="000000"/>
                <w:sz w:val="20"/>
                <w:szCs w:val="20"/>
              </w:rPr>
              <w:t>辆，破案率达</w:t>
            </w:r>
            <w:r>
              <w:rPr>
                <w:rFonts w:ascii="仿宋_GB2312" w:eastAsia="仿宋_GB2312" w:hAnsi="宋体" w:cs="仿宋_GB2312"/>
                <w:color w:val="000000"/>
                <w:sz w:val="20"/>
                <w:szCs w:val="20"/>
              </w:rPr>
              <w:t>100%</w:t>
            </w:r>
            <w:r>
              <w:rPr>
                <w:rFonts w:ascii="仿宋_GB2312" w:eastAsia="仿宋_GB2312" w:hAnsi="宋体" w:cs="仿宋_GB2312" w:hint="eastAsia"/>
                <w:color w:val="000000"/>
                <w:sz w:val="20"/>
                <w:szCs w:val="20"/>
              </w:rPr>
              <w:t>。</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r>
      <w:tr w:rsidR="00AF2C29">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rsidP="00BA6597">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二、评价综合意见：</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widowControl/>
              <w:textAlignment w:val="center"/>
              <w:rPr>
                <w:rFonts w:ascii="宋体" w:eastAsia="宋体" w:hAnsi="宋体" w:cs="宋体"/>
                <w:color w:val="000000"/>
                <w:kern w:val="0"/>
                <w:sz w:val="24"/>
                <w:szCs w:val="24"/>
              </w:rPr>
            </w:pPr>
          </w:p>
        </w:tc>
      </w:tr>
      <w:tr w:rsidR="00AF2C29">
        <w:trPr>
          <w:trHeight w:val="659"/>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主要绩效情况</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pPr>
              <w:rPr>
                <w:rFonts w:ascii="仿宋_GB2312" w:eastAsia="仿宋_GB2312" w:hAnsi="宋体" w:cs="仿宋_GB2312"/>
                <w:color w:val="000000"/>
                <w:sz w:val="20"/>
                <w:szCs w:val="20"/>
              </w:rPr>
            </w:pPr>
            <w:r>
              <w:rPr>
                <w:rFonts w:ascii="宋体" w:eastAsia="宋体" w:hAnsi="宋体" w:cs="宋体" w:hint="eastAsia"/>
                <w:color w:val="000000"/>
                <w:kern w:val="0"/>
                <w:sz w:val="24"/>
                <w:szCs w:val="24"/>
              </w:rPr>
              <w:t>保障了辖区社会治安稳定，有效地促进了辖区经济的发展，减少、排除了辖区矛盾及纠纷，使我县社会管理综合治理工作稳定发展，为维护全县社会稳定，促进全处经济发展创造了良好的社会环境。</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r>
      <w:tr w:rsidR="00AF2C29">
        <w:trPr>
          <w:trHeight w:val="3236"/>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lastRenderedPageBreak/>
              <w:t>主要问题与建议</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0A5130" w:rsidP="00007380">
            <w:pPr>
              <w:spacing w:beforeLines="50" w:afterLines="50" w:line="56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问题：单位虽然对项目资金进行了必要的监控和检查，但未形成书面的监控报告；后期工作容易出现突发状况，前期预算不能有效把握预算控制数，</w:t>
            </w:r>
          </w:p>
          <w:p w:rsidR="00AF2C29" w:rsidRDefault="000A5130">
            <w:pPr>
              <w:rPr>
                <w:rFonts w:ascii="宋体" w:eastAsia="宋体" w:hAnsi="宋体" w:cs="宋体"/>
                <w:color w:val="000000"/>
                <w:kern w:val="0"/>
                <w:sz w:val="24"/>
                <w:szCs w:val="24"/>
              </w:rPr>
            </w:pPr>
            <w:r>
              <w:rPr>
                <w:rFonts w:ascii="宋体" w:eastAsia="宋体" w:hAnsi="宋体" w:cs="宋体" w:hint="eastAsia"/>
                <w:color w:val="000000"/>
                <w:kern w:val="0"/>
                <w:sz w:val="24"/>
                <w:szCs w:val="24"/>
              </w:rPr>
              <w:t>建议：1、</w:t>
            </w:r>
            <w:bookmarkStart w:id="0" w:name="OLE_LINK1"/>
            <w:bookmarkStart w:id="1" w:name="OLE_LINK2"/>
            <w:r>
              <w:rPr>
                <w:rFonts w:ascii="宋体" w:eastAsia="宋体" w:hAnsi="宋体" w:cs="宋体" w:hint="eastAsia"/>
                <w:color w:val="000000"/>
                <w:kern w:val="0"/>
                <w:sz w:val="24"/>
                <w:szCs w:val="24"/>
              </w:rPr>
              <w:t>加强项目资金的管理和</w:t>
            </w:r>
            <w:bookmarkEnd w:id="0"/>
            <w:bookmarkEnd w:id="1"/>
            <w:r>
              <w:rPr>
                <w:rFonts w:ascii="宋体" w:eastAsia="宋体" w:hAnsi="宋体" w:cs="宋体" w:hint="eastAsia"/>
                <w:color w:val="000000"/>
                <w:kern w:val="0"/>
                <w:sz w:val="24"/>
                <w:szCs w:val="24"/>
              </w:rPr>
              <w:t>加强项目的业务管理，完善项目业务管理制度；</w:t>
            </w:r>
          </w:p>
          <w:p w:rsidR="00AF2C29" w:rsidRDefault="000A5130" w:rsidP="00007380">
            <w:pPr>
              <w:spacing w:beforeLines="50" w:afterLines="50" w:line="56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2、加强财务监控，对项目资金进行事前、事中、事后的检查分析，并形成监控报告，确保项目资金安全有效运行。</w:t>
            </w:r>
          </w:p>
          <w:p w:rsidR="00AF2C29" w:rsidRDefault="00AF2C29" w:rsidP="00007380">
            <w:pPr>
              <w:spacing w:beforeLines="50" w:afterLines="50" w:line="560" w:lineRule="exact"/>
              <w:rPr>
                <w:rFonts w:ascii="宋体" w:eastAsia="宋体" w:hAnsi="宋体" w:cs="宋体"/>
                <w:color w:val="000000"/>
                <w:kern w:val="0"/>
                <w:sz w:val="24"/>
                <w:szCs w:val="24"/>
              </w:rPr>
            </w:pPr>
          </w:p>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C29" w:rsidRDefault="00AF2C29">
            <w:pPr>
              <w:rPr>
                <w:rFonts w:ascii="仿宋_GB2312" w:eastAsia="仿宋_GB2312" w:hAnsi="宋体" w:cs="仿宋_GB2312"/>
                <w:color w:val="000000"/>
                <w:sz w:val="20"/>
                <w:szCs w:val="20"/>
              </w:rPr>
            </w:pPr>
          </w:p>
        </w:tc>
      </w:tr>
      <w:tr w:rsidR="00AF2C29">
        <w:trPr>
          <w:trHeight w:val="286"/>
        </w:trPr>
        <w:tc>
          <w:tcPr>
            <w:tcW w:w="1080" w:type="dxa"/>
            <w:shd w:val="clear" w:color="auto" w:fill="auto"/>
            <w:vAlign w:val="center"/>
          </w:tcPr>
          <w:p w:rsidR="00AF2C29" w:rsidRDefault="00AF2C29">
            <w:pPr>
              <w:rPr>
                <w:rFonts w:ascii="宋体" w:eastAsia="宋体" w:hAnsi="宋体" w:cs="宋体"/>
                <w:color w:val="000000"/>
                <w:sz w:val="24"/>
                <w:szCs w:val="24"/>
              </w:rPr>
            </w:pPr>
          </w:p>
        </w:tc>
        <w:tc>
          <w:tcPr>
            <w:tcW w:w="1354" w:type="dxa"/>
            <w:shd w:val="clear" w:color="auto" w:fill="auto"/>
            <w:vAlign w:val="center"/>
          </w:tcPr>
          <w:p w:rsidR="00AF2C29" w:rsidRDefault="00AF2C29">
            <w:pPr>
              <w:rPr>
                <w:rFonts w:ascii="宋体" w:eastAsia="宋体" w:hAnsi="宋体" w:cs="宋体"/>
                <w:color w:val="000000"/>
                <w:sz w:val="24"/>
                <w:szCs w:val="24"/>
              </w:rPr>
            </w:pPr>
          </w:p>
        </w:tc>
        <w:tc>
          <w:tcPr>
            <w:tcW w:w="1354" w:type="dxa"/>
            <w:shd w:val="clear" w:color="auto" w:fill="auto"/>
            <w:vAlign w:val="center"/>
          </w:tcPr>
          <w:p w:rsidR="00AF2C29" w:rsidRDefault="00AF2C29">
            <w:pPr>
              <w:rPr>
                <w:rFonts w:ascii="宋体" w:eastAsia="宋体" w:hAnsi="宋体" w:cs="宋体"/>
                <w:color w:val="000000"/>
                <w:sz w:val="24"/>
                <w:szCs w:val="24"/>
              </w:rPr>
            </w:pPr>
          </w:p>
        </w:tc>
        <w:tc>
          <w:tcPr>
            <w:tcW w:w="1370" w:type="dxa"/>
            <w:gridSpan w:val="2"/>
            <w:shd w:val="clear" w:color="auto" w:fill="auto"/>
            <w:vAlign w:val="center"/>
          </w:tcPr>
          <w:p w:rsidR="00AF2C29" w:rsidRDefault="00AF2C29">
            <w:pPr>
              <w:rPr>
                <w:rFonts w:ascii="宋体" w:eastAsia="宋体" w:hAnsi="宋体" w:cs="宋体"/>
                <w:color w:val="000000"/>
                <w:sz w:val="24"/>
                <w:szCs w:val="24"/>
              </w:rPr>
            </w:pPr>
            <w:bookmarkStart w:id="2" w:name="_GoBack"/>
            <w:bookmarkEnd w:id="2"/>
          </w:p>
        </w:tc>
        <w:tc>
          <w:tcPr>
            <w:tcW w:w="3030" w:type="dxa"/>
            <w:gridSpan w:val="2"/>
            <w:shd w:val="clear" w:color="auto" w:fill="auto"/>
            <w:vAlign w:val="center"/>
          </w:tcPr>
          <w:p w:rsidR="00AF2C29" w:rsidRDefault="00AF2C29">
            <w:pPr>
              <w:rPr>
                <w:rFonts w:ascii="宋体" w:eastAsia="宋体" w:hAnsi="宋体" w:cs="宋体"/>
                <w:color w:val="000000"/>
                <w:sz w:val="24"/>
                <w:szCs w:val="24"/>
              </w:rPr>
            </w:pPr>
          </w:p>
        </w:tc>
        <w:tc>
          <w:tcPr>
            <w:tcW w:w="2430" w:type="dxa"/>
            <w:shd w:val="clear" w:color="auto" w:fill="auto"/>
            <w:vAlign w:val="center"/>
          </w:tcPr>
          <w:p w:rsidR="00AF2C29" w:rsidRDefault="00AF2C29">
            <w:pPr>
              <w:rPr>
                <w:rFonts w:ascii="宋体" w:eastAsia="宋体" w:hAnsi="宋体" w:cs="宋体"/>
                <w:color w:val="000000"/>
                <w:sz w:val="24"/>
                <w:szCs w:val="24"/>
              </w:rPr>
            </w:pPr>
          </w:p>
        </w:tc>
        <w:tc>
          <w:tcPr>
            <w:tcW w:w="2420" w:type="dxa"/>
            <w:shd w:val="clear" w:color="auto" w:fill="auto"/>
            <w:vAlign w:val="center"/>
          </w:tcPr>
          <w:p w:rsidR="00AF2C29" w:rsidRDefault="00AF2C29">
            <w:pPr>
              <w:rPr>
                <w:rFonts w:ascii="宋体" w:eastAsia="宋体" w:hAnsi="宋体" w:cs="宋体"/>
                <w:color w:val="000000"/>
                <w:sz w:val="24"/>
                <w:szCs w:val="24"/>
              </w:rPr>
            </w:pPr>
          </w:p>
        </w:tc>
        <w:tc>
          <w:tcPr>
            <w:tcW w:w="2420" w:type="dxa"/>
            <w:shd w:val="clear" w:color="auto" w:fill="auto"/>
            <w:vAlign w:val="center"/>
          </w:tcPr>
          <w:p w:rsidR="00AF2C29" w:rsidRDefault="00AF2C29">
            <w:pPr>
              <w:rPr>
                <w:rFonts w:ascii="宋体" w:eastAsia="宋体" w:hAnsi="宋体" w:cs="宋体"/>
                <w:color w:val="000000"/>
                <w:sz w:val="24"/>
                <w:szCs w:val="24"/>
              </w:rPr>
            </w:pPr>
          </w:p>
        </w:tc>
        <w:tc>
          <w:tcPr>
            <w:tcW w:w="2420" w:type="dxa"/>
            <w:shd w:val="clear" w:color="auto" w:fill="auto"/>
            <w:vAlign w:val="center"/>
          </w:tcPr>
          <w:p w:rsidR="00AF2C29" w:rsidRDefault="00AF2C29">
            <w:pPr>
              <w:rPr>
                <w:rFonts w:ascii="宋体" w:eastAsia="宋体" w:hAnsi="宋体" w:cs="宋体"/>
                <w:color w:val="000000"/>
                <w:sz w:val="24"/>
                <w:szCs w:val="24"/>
              </w:rPr>
            </w:pPr>
          </w:p>
        </w:tc>
        <w:tc>
          <w:tcPr>
            <w:tcW w:w="2420" w:type="dxa"/>
            <w:shd w:val="clear" w:color="auto" w:fill="auto"/>
            <w:vAlign w:val="center"/>
          </w:tcPr>
          <w:p w:rsidR="00AF2C29" w:rsidRDefault="00AF2C29">
            <w:pPr>
              <w:rPr>
                <w:rFonts w:ascii="宋体" w:eastAsia="宋体" w:hAnsi="宋体" w:cs="宋体"/>
                <w:color w:val="000000"/>
                <w:sz w:val="24"/>
                <w:szCs w:val="24"/>
              </w:rPr>
            </w:pPr>
          </w:p>
        </w:tc>
      </w:tr>
      <w:tr w:rsidR="00AF2C29">
        <w:trPr>
          <w:trHeight w:val="735"/>
        </w:trPr>
        <w:tc>
          <w:tcPr>
            <w:tcW w:w="10618" w:type="dxa"/>
            <w:gridSpan w:val="8"/>
            <w:shd w:val="clear" w:color="auto" w:fill="auto"/>
            <w:vAlign w:val="center"/>
          </w:tcPr>
          <w:p w:rsidR="00AF2C29" w:rsidRDefault="000A5130">
            <w:pPr>
              <w:widowControl/>
              <w:textAlignment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预算单位：元江县政法委                       公告时间：201</w:t>
            </w:r>
            <w:r w:rsidR="00BA6597">
              <w:rPr>
                <w:rFonts w:ascii="宋体" w:eastAsia="宋体" w:hAnsi="宋体" w:cs="宋体"/>
                <w:color w:val="000000"/>
                <w:kern w:val="0"/>
                <w:sz w:val="24"/>
                <w:szCs w:val="24"/>
              </w:rPr>
              <w:t>9</w:t>
            </w:r>
            <w:r>
              <w:rPr>
                <w:rFonts w:ascii="宋体" w:eastAsia="宋体" w:hAnsi="宋体" w:cs="宋体" w:hint="eastAsia"/>
                <w:color w:val="000000"/>
                <w:kern w:val="0"/>
                <w:sz w:val="24"/>
                <w:szCs w:val="24"/>
              </w:rPr>
              <w:t>年1月2</w:t>
            </w:r>
            <w:r w:rsidR="00BA6597">
              <w:rPr>
                <w:rFonts w:ascii="宋体" w:eastAsia="宋体" w:hAnsi="宋体" w:cs="宋体"/>
                <w:color w:val="000000"/>
                <w:kern w:val="0"/>
                <w:sz w:val="24"/>
                <w:szCs w:val="24"/>
              </w:rPr>
              <w:t>8</w:t>
            </w:r>
            <w:r>
              <w:rPr>
                <w:rFonts w:ascii="宋体" w:eastAsia="宋体" w:hAnsi="宋体" w:cs="宋体" w:hint="eastAsia"/>
                <w:color w:val="000000"/>
                <w:kern w:val="0"/>
                <w:sz w:val="24"/>
                <w:szCs w:val="24"/>
              </w:rPr>
              <w:t>日</w:t>
            </w:r>
          </w:p>
          <w:p w:rsidR="00AF2C29" w:rsidRDefault="00AF2C29">
            <w:pPr>
              <w:jc w:val="center"/>
              <w:rPr>
                <w:rFonts w:ascii="Times New Roman" w:eastAsia="仿宋" w:hAnsi="Times New Roman" w:cs="Times New Roman"/>
                <w:b/>
                <w:sz w:val="32"/>
                <w:szCs w:val="32"/>
              </w:rPr>
            </w:pPr>
          </w:p>
          <w:p w:rsidR="00AF2C29" w:rsidRDefault="000A5130">
            <w:pPr>
              <w:jc w:val="center"/>
              <w:rPr>
                <w:rFonts w:ascii="Times New Roman" w:eastAsia="仿宋" w:hAnsi="仿宋" w:cs="Times New Roman"/>
                <w:sz w:val="32"/>
                <w:szCs w:val="32"/>
              </w:rPr>
            </w:pPr>
            <w:r>
              <w:rPr>
                <w:rFonts w:ascii="Times New Roman" w:eastAsia="仿宋" w:hAnsi="Times New Roman" w:cs="Times New Roman" w:hint="eastAsia"/>
                <w:b/>
                <w:sz w:val="32"/>
                <w:szCs w:val="32"/>
              </w:rPr>
              <w:t xml:space="preserve">               </w:t>
            </w:r>
            <w:r>
              <w:rPr>
                <w:rFonts w:ascii="Times New Roman" w:eastAsia="仿宋" w:hAnsi="Times New Roman" w:cs="Times New Roman" w:hint="eastAsia"/>
                <w:b/>
                <w:sz w:val="32"/>
                <w:szCs w:val="32"/>
              </w:rPr>
              <w:t>元江</w:t>
            </w:r>
            <w:r>
              <w:rPr>
                <w:rFonts w:ascii="Times New Roman" w:eastAsia="仿宋" w:hAnsi="仿宋" w:cs="Times New Roman" w:hint="eastAsia"/>
                <w:b/>
                <w:sz w:val="32"/>
                <w:szCs w:val="32"/>
              </w:rPr>
              <w:t>县委政法委</w:t>
            </w:r>
          </w:p>
          <w:p w:rsidR="00AF2C29" w:rsidRDefault="000A5130" w:rsidP="00BA6597">
            <w:pPr>
              <w:jc w:val="center"/>
              <w:rPr>
                <w:rFonts w:ascii="宋体" w:eastAsia="宋体" w:hAnsi="宋体" w:cs="宋体"/>
                <w:color w:val="000000"/>
                <w:sz w:val="24"/>
                <w:szCs w:val="24"/>
              </w:rPr>
            </w:pPr>
            <w:r>
              <w:rPr>
                <w:rFonts w:ascii="Times New Roman" w:eastAsia="仿宋" w:hAnsi="Times New Roman" w:cs="Times New Roman"/>
                <w:sz w:val="32"/>
                <w:szCs w:val="32"/>
              </w:rPr>
              <w:t xml:space="preserve">                 201</w:t>
            </w:r>
            <w:r w:rsidR="00BA6597">
              <w:rPr>
                <w:rFonts w:ascii="Times New Roman" w:eastAsia="仿宋" w:hAnsi="Times New Roman" w:cs="Times New Roman"/>
                <w:sz w:val="32"/>
                <w:szCs w:val="32"/>
              </w:rPr>
              <w:t>9</w:t>
            </w:r>
            <w:r>
              <w:rPr>
                <w:rFonts w:ascii="Times New Roman" w:eastAsia="仿宋" w:hAnsi="仿宋" w:cs="Times New Roman"/>
                <w:sz w:val="32"/>
                <w:szCs w:val="32"/>
              </w:rPr>
              <w:t>年</w:t>
            </w:r>
            <w:r w:rsidR="00BA6597">
              <w:rPr>
                <w:rFonts w:ascii="Times New Roman" w:eastAsia="仿宋" w:hAnsi="Times New Roman" w:cs="Times New Roman"/>
                <w:sz w:val="32"/>
                <w:szCs w:val="32"/>
              </w:rPr>
              <w:t>1</w:t>
            </w:r>
            <w:r>
              <w:rPr>
                <w:rFonts w:ascii="Times New Roman" w:eastAsia="仿宋" w:hAnsi="仿宋" w:cs="Times New Roman"/>
                <w:sz w:val="32"/>
                <w:szCs w:val="32"/>
              </w:rPr>
              <w:t>月</w:t>
            </w:r>
            <w:r>
              <w:rPr>
                <w:rFonts w:ascii="Times New Roman" w:eastAsia="仿宋" w:hAnsi="Times New Roman" w:cs="Times New Roman" w:hint="eastAsia"/>
                <w:sz w:val="32"/>
                <w:szCs w:val="32"/>
              </w:rPr>
              <w:t>2</w:t>
            </w:r>
            <w:r w:rsidR="00BA6597">
              <w:rPr>
                <w:rFonts w:ascii="Times New Roman" w:eastAsia="仿宋" w:hAnsi="Times New Roman" w:cs="Times New Roman"/>
                <w:sz w:val="32"/>
                <w:szCs w:val="32"/>
              </w:rPr>
              <w:t>8</w:t>
            </w:r>
            <w:r>
              <w:rPr>
                <w:rFonts w:ascii="Times New Roman" w:eastAsia="仿宋" w:hAnsi="仿宋" w:cs="Times New Roman"/>
                <w:sz w:val="32"/>
                <w:szCs w:val="32"/>
              </w:rPr>
              <w:t>日</w:t>
            </w:r>
          </w:p>
        </w:tc>
        <w:tc>
          <w:tcPr>
            <w:tcW w:w="2420" w:type="dxa"/>
            <w:shd w:val="clear" w:color="auto" w:fill="auto"/>
            <w:vAlign w:val="center"/>
          </w:tcPr>
          <w:p w:rsidR="00AF2C29" w:rsidRDefault="00AF2C29">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AF2C29" w:rsidRDefault="00AF2C29">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AF2C29" w:rsidRDefault="00AF2C29">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AF2C29" w:rsidRDefault="00AF2C29">
            <w:pPr>
              <w:widowControl/>
              <w:textAlignment w:val="center"/>
              <w:rPr>
                <w:rFonts w:ascii="宋体" w:eastAsia="宋体" w:hAnsi="宋体" w:cs="宋体"/>
                <w:color w:val="000000"/>
                <w:kern w:val="0"/>
                <w:sz w:val="24"/>
                <w:szCs w:val="24"/>
              </w:rPr>
            </w:pPr>
          </w:p>
        </w:tc>
      </w:tr>
    </w:tbl>
    <w:p w:rsidR="00AF2C29" w:rsidRDefault="00AF2C29">
      <w:pPr>
        <w:rPr>
          <w:sz w:val="30"/>
          <w:szCs w:val="30"/>
        </w:rPr>
      </w:pPr>
    </w:p>
    <w:p w:rsidR="00AF2C29" w:rsidRDefault="00AF2C29">
      <w:pPr>
        <w:pStyle w:val="1"/>
        <w:ind w:left="600" w:firstLineChars="100" w:firstLine="300"/>
        <w:rPr>
          <w:sz w:val="30"/>
          <w:szCs w:val="30"/>
        </w:rPr>
      </w:pPr>
    </w:p>
    <w:p w:rsidR="00AF2C29" w:rsidRDefault="00AF2C29">
      <w:pPr>
        <w:pStyle w:val="1"/>
        <w:ind w:left="600" w:firstLineChars="100" w:firstLine="300"/>
        <w:rPr>
          <w:sz w:val="30"/>
          <w:szCs w:val="30"/>
        </w:rPr>
      </w:pPr>
    </w:p>
    <w:sectPr w:rsidR="00AF2C29" w:rsidSect="00AF2C2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4AC8E1"/>
    <w:multiLevelType w:val="singleLevel"/>
    <w:tmpl w:val="5C4AC8E1"/>
    <w:lvl w:ilvl="0">
      <w:start w:val="2"/>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07380"/>
    <w:rsid w:val="00017C7B"/>
    <w:rsid w:val="000209A9"/>
    <w:rsid w:val="00025135"/>
    <w:rsid w:val="00047378"/>
    <w:rsid w:val="00080321"/>
    <w:rsid w:val="000A5130"/>
    <w:rsid w:val="000B1D5F"/>
    <w:rsid w:val="000B425B"/>
    <w:rsid w:val="001043B2"/>
    <w:rsid w:val="001065B2"/>
    <w:rsid w:val="00107899"/>
    <w:rsid w:val="00131F54"/>
    <w:rsid w:val="00137E36"/>
    <w:rsid w:val="00142F05"/>
    <w:rsid w:val="00150893"/>
    <w:rsid w:val="00150CB1"/>
    <w:rsid w:val="00172A27"/>
    <w:rsid w:val="001D6CCD"/>
    <w:rsid w:val="001E57A3"/>
    <w:rsid w:val="0023384B"/>
    <w:rsid w:val="00237EFB"/>
    <w:rsid w:val="00246EFA"/>
    <w:rsid w:val="0026164D"/>
    <w:rsid w:val="0027418D"/>
    <w:rsid w:val="00275322"/>
    <w:rsid w:val="0028424D"/>
    <w:rsid w:val="00287FD5"/>
    <w:rsid w:val="002E1580"/>
    <w:rsid w:val="00306A27"/>
    <w:rsid w:val="00350DD5"/>
    <w:rsid w:val="0036286E"/>
    <w:rsid w:val="003A7E56"/>
    <w:rsid w:val="003D36D1"/>
    <w:rsid w:val="004242EA"/>
    <w:rsid w:val="004261C0"/>
    <w:rsid w:val="004A2639"/>
    <w:rsid w:val="004F1C2D"/>
    <w:rsid w:val="00510743"/>
    <w:rsid w:val="00557E9B"/>
    <w:rsid w:val="005A4AAA"/>
    <w:rsid w:val="00613505"/>
    <w:rsid w:val="0061384D"/>
    <w:rsid w:val="00621EB8"/>
    <w:rsid w:val="00655A8B"/>
    <w:rsid w:val="006911E3"/>
    <w:rsid w:val="006922B8"/>
    <w:rsid w:val="006A5391"/>
    <w:rsid w:val="006D3BA0"/>
    <w:rsid w:val="006E5117"/>
    <w:rsid w:val="006F63E4"/>
    <w:rsid w:val="00714594"/>
    <w:rsid w:val="007354D6"/>
    <w:rsid w:val="00740847"/>
    <w:rsid w:val="007B3B84"/>
    <w:rsid w:val="007B55FF"/>
    <w:rsid w:val="007E5F5F"/>
    <w:rsid w:val="00805C25"/>
    <w:rsid w:val="008327BF"/>
    <w:rsid w:val="00853E19"/>
    <w:rsid w:val="008C6241"/>
    <w:rsid w:val="008D5D84"/>
    <w:rsid w:val="00903438"/>
    <w:rsid w:val="00903F3D"/>
    <w:rsid w:val="0091357B"/>
    <w:rsid w:val="00922835"/>
    <w:rsid w:val="0092460B"/>
    <w:rsid w:val="009B71C9"/>
    <w:rsid w:val="009D3DDE"/>
    <w:rsid w:val="00A611E5"/>
    <w:rsid w:val="00A62090"/>
    <w:rsid w:val="00A658CA"/>
    <w:rsid w:val="00A87DE4"/>
    <w:rsid w:val="00AF2C29"/>
    <w:rsid w:val="00B04B13"/>
    <w:rsid w:val="00B05D68"/>
    <w:rsid w:val="00B26396"/>
    <w:rsid w:val="00B810F4"/>
    <w:rsid w:val="00BA42E4"/>
    <w:rsid w:val="00BA6597"/>
    <w:rsid w:val="00BB1055"/>
    <w:rsid w:val="00C34698"/>
    <w:rsid w:val="00C5525D"/>
    <w:rsid w:val="00C72500"/>
    <w:rsid w:val="00C86DA7"/>
    <w:rsid w:val="00CC6993"/>
    <w:rsid w:val="00CE00DA"/>
    <w:rsid w:val="00D050EB"/>
    <w:rsid w:val="00D069A4"/>
    <w:rsid w:val="00D111DA"/>
    <w:rsid w:val="00D12522"/>
    <w:rsid w:val="00D133FC"/>
    <w:rsid w:val="00D37363"/>
    <w:rsid w:val="00E149AB"/>
    <w:rsid w:val="00E16CB4"/>
    <w:rsid w:val="00E478CA"/>
    <w:rsid w:val="00E53D18"/>
    <w:rsid w:val="00E67EB9"/>
    <w:rsid w:val="00E71CB0"/>
    <w:rsid w:val="00EC33BD"/>
    <w:rsid w:val="00F7376B"/>
    <w:rsid w:val="00F9137F"/>
    <w:rsid w:val="00FA4468"/>
    <w:rsid w:val="00FC0D01"/>
    <w:rsid w:val="00FE01BC"/>
    <w:rsid w:val="00FE221E"/>
    <w:rsid w:val="00FF7693"/>
    <w:rsid w:val="1B2E0D67"/>
    <w:rsid w:val="24557AF9"/>
    <w:rsid w:val="30B279BF"/>
    <w:rsid w:val="359065DB"/>
    <w:rsid w:val="484C3651"/>
    <w:rsid w:val="787436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2C29"/>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AF2C29"/>
    <w:pPr>
      <w:tabs>
        <w:tab w:val="center" w:pos="4153"/>
        <w:tab w:val="right" w:pos="8306"/>
      </w:tabs>
      <w:snapToGrid w:val="0"/>
      <w:jc w:val="left"/>
    </w:pPr>
    <w:rPr>
      <w:sz w:val="18"/>
      <w:szCs w:val="18"/>
    </w:rPr>
  </w:style>
  <w:style w:type="paragraph" w:styleId="a4">
    <w:name w:val="header"/>
    <w:basedOn w:val="a"/>
    <w:link w:val="Char0"/>
    <w:uiPriority w:val="99"/>
    <w:semiHidden/>
    <w:unhideWhenUsed/>
    <w:rsid w:val="00AF2C29"/>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34"/>
    <w:qFormat/>
    <w:rsid w:val="00AF2C29"/>
    <w:pPr>
      <w:ind w:firstLineChars="200" w:firstLine="420"/>
    </w:pPr>
  </w:style>
  <w:style w:type="paragraph" w:customStyle="1" w:styleId="Default">
    <w:name w:val="Default"/>
    <w:uiPriority w:val="99"/>
    <w:unhideWhenUsed/>
    <w:qFormat/>
    <w:rsid w:val="00AF2C29"/>
    <w:pPr>
      <w:widowControl w:val="0"/>
      <w:autoSpaceDE w:val="0"/>
      <w:autoSpaceDN w:val="0"/>
      <w:adjustRightInd w:val="0"/>
    </w:pPr>
    <w:rPr>
      <w:rFonts w:ascii="仿宋" w:eastAsia="仿宋" w:hAnsi="仿宋" w:hint="eastAsia"/>
      <w:color w:val="000000"/>
      <w:sz w:val="24"/>
    </w:rPr>
  </w:style>
  <w:style w:type="character" w:customStyle="1" w:styleId="Char0">
    <w:name w:val="页眉 Char"/>
    <w:basedOn w:val="a0"/>
    <w:link w:val="a4"/>
    <w:uiPriority w:val="99"/>
    <w:semiHidden/>
    <w:rsid w:val="00AF2C29"/>
    <w:rPr>
      <w:rFonts w:asciiTheme="minorHAnsi" w:eastAsiaTheme="minorEastAsia" w:hAnsiTheme="minorHAnsi" w:cstheme="minorBidi"/>
      <w:kern w:val="2"/>
      <w:sz w:val="18"/>
      <w:szCs w:val="18"/>
    </w:rPr>
  </w:style>
  <w:style w:type="character" w:customStyle="1" w:styleId="Char">
    <w:name w:val="页脚 Char"/>
    <w:basedOn w:val="a0"/>
    <w:link w:val="a3"/>
    <w:uiPriority w:val="99"/>
    <w:semiHidden/>
    <w:rsid w:val="00AF2C29"/>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518</Words>
  <Characters>2959</Characters>
  <Application>Microsoft Office Word</Application>
  <DocSecurity>0</DocSecurity>
  <Lines>24</Lines>
  <Paragraphs>6</Paragraphs>
  <ScaleCrop>false</ScaleCrop>
  <Company>Microsoft</Company>
  <LinksUpToDate>false</LinksUpToDate>
  <CharactersWithSpaces>3471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90</cp:revision>
  <dcterms:created xsi:type="dcterms:W3CDTF">2019-01-26T09:49:00Z</dcterms:created>
  <dcterms:modified xsi:type="dcterms:W3CDTF">2019-01-28T08:13:00Z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