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ackground w:color="ffffff">
    <v:background id="_x0000_s1025" filled="t"/>
  </w:background>
  <w:body>
    <w:p>
      <w:pPr>
        <w:rPr>
          <w:rFonts w:ascii="Arial" w:eastAsia="Arial" w:hAnsi="Arial" w:cs="Arial"/>
          <w:b/>
          <w:sz w:val="36"/>
        </w:rPr>
      </w:pPr>
      <w:r>
        <w:rPr>
          <w:rFonts w:ascii="Arial" w:eastAsia="Arial" w:hAnsi="Arial" w:cs="Arial"/>
          <w:b/>
          <w:sz w:val="36"/>
        </w:rPr>
        <w:t>监督索引号53042200431600101000</w:t>
      </w:r>
    </w:p>
    <w:p>
      <w:pPr>
        <w:keepNext w:val="0"/>
        <w:keepLines w:val="0"/>
        <w:pageBreakBefore w:val="0"/>
        <w:widowControl/>
        <w:suppressLineNumbers w:val="0"/>
        <w:kinsoku/>
        <w:wordWrap/>
        <w:overflowPunct/>
        <w:topLinePunct/>
        <w:autoSpaceDE w:val="0"/>
        <w:autoSpaceDN w:val="0"/>
        <w:bidi w:val="0"/>
        <w:adjustRightInd/>
        <w:spacing w:beforeAutospacing="0" w:afterAutospacing="0" w:line="590" w:lineRule="exact"/>
        <w:ind w:left="0" w:right="0" w:firstLine="880" w:leftChars="0" w:rightChars="0" w:firstLineChars="200"/>
        <w:jc w:val="both"/>
        <w:textAlignment w:val="auto"/>
        <w:outlineLvl w:val="9"/>
        <w:rPr>
          <w:rFonts w:ascii="方正小标宋_GBK" w:eastAsia="方正小标宋_GBK" w:hAnsi="方正小标宋_GBK" w:cs="方正小标宋_GBK" w:hint="eastAsia"/>
          <w:color w:val="auto"/>
          <w:kern w:val="0"/>
          <w:sz w:val="44"/>
          <w:szCs w:val="44"/>
        </w:rPr>
      </w:pPr>
      <w:r>
        <w:rPr>
          <w:rFonts w:ascii="方正小标宋_GBK" w:eastAsia="方正小标宋_GBK" w:hAnsi="方正小标宋_GBK" w:cs="方正小标宋_GBK" w:hint="eastAsia"/>
          <w:color w:val="auto"/>
          <w:kern w:val="0"/>
          <w:sz w:val="44"/>
          <w:szCs w:val="44"/>
        </w:rPr>
        <w:t>澄江市社会保险局</w:t>
      </w:r>
      <w:r>
        <w:rPr>
          <w:rFonts w:ascii="Times New Roman" w:eastAsia="方正小标宋_GBK" w:hAnsi="Times New Roman" w:cs="Times New Roman" w:hint="default"/>
          <w:color w:val="auto"/>
          <w:kern w:val="0"/>
          <w:sz w:val="44"/>
          <w:szCs w:val="44"/>
        </w:rPr>
        <w:t>2021</w:t>
      </w:r>
      <w:r>
        <w:rPr>
          <w:rFonts w:ascii="方正小标宋_GBK" w:eastAsia="方正小标宋_GBK" w:hAnsi="方正小标宋_GBK" w:cs="方正小标宋_GBK" w:hint="eastAsia"/>
          <w:color w:val="auto"/>
          <w:kern w:val="0"/>
          <w:sz w:val="44"/>
          <w:szCs w:val="44"/>
        </w:rPr>
        <w:t>年度部门决算</w:t>
      </w:r>
    </w:p>
    <w:p>
      <w:pPr>
        <w:keepNext w:val="0"/>
        <w:keepLines w:val="0"/>
        <w:pageBreakBefore w:val="0"/>
        <w:widowControl/>
        <w:suppressLineNumbers w:val="0"/>
        <w:kinsoku/>
        <w:wordWrap/>
        <w:overflowPunct/>
        <w:topLinePunct/>
        <w:autoSpaceDE w:val="0"/>
        <w:autoSpaceDN w:val="0"/>
        <w:bidi w:val="0"/>
        <w:adjustRightInd/>
        <w:spacing w:beforeAutospacing="0" w:afterAutospacing="0" w:line="590" w:lineRule="exact"/>
        <w:ind w:left="0" w:right="0" w:firstLine="720" w:leftChars="0" w:rightChars="0" w:firstLineChars="200"/>
        <w:jc w:val="both"/>
        <w:textAlignment w:val="auto"/>
        <w:outlineLvl w:val="9"/>
        <w:rPr>
          <w:color w:val="auto"/>
        </w:rPr>
      </w:pPr>
      <w:r>
        <w:rPr>
          <w:rFonts w:ascii="Times New Roman" w:hAnsi="Times New Roman" w:cs="Times New Roman" w:hint="default"/>
          <w:color w:val="auto"/>
          <w:sz w:val="36"/>
          <w:szCs w:val="36"/>
        </w:rPr>
        <w:t> </w:t>
      </w:r>
    </w:p>
    <w:p>
      <w:pPr>
        <w:keepNext w:val="0"/>
        <w:keepLines w:val="0"/>
        <w:pageBreakBefore w:val="0"/>
        <w:widowControl/>
        <w:suppressLineNumbers w:val="0"/>
        <w:kinsoku/>
        <w:wordWrap/>
        <w:overflowPunct/>
        <w:topLinePunct/>
        <w:autoSpaceDE w:val="0"/>
        <w:autoSpaceDN w:val="0"/>
        <w:bidi w:val="0"/>
        <w:adjustRightInd/>
        <w:spacing w:beforeAutospacing="0" w:afterAutospacing="0" w:line="590" w:lineRule="exact"/>
        <w:ind w:left="0" w:right="0" w:firstLine="720" w:leftChars="0" w:rightChars="0" w:firstLineChars="200"/>
        <w:jc w:val="center"/>
        <w:textAlignment w:val="auto"/>
        <w:outlineLvl w:val="9"/>
        <w:rPr>
          <w:rFonts w:ascii="方正小标宋简体" w:eastAsia="方正小标宋简体" w:hAnsi="方正小标宋简体" w:cs="方正小标宋简体" w:hint="eastAsia"/>
          <w:color w:val="auto"/>
          <w:kern w:val="0"/>
          <w:sz w:val="36"/>
          <w:szCs w:val="36"/>
        </w:rPr>
      </w:pPr>
      <w:r>
        <w:rPr>
          <w:rFonts w:ascii="方正小标宋简体" w:eastAsia="方正小标宋简体" w:hAnsi="方正小标宋简体" w:cs="方正小标宋简体" w:hint="eastAsia"/>
          <w:color w:val="auto"/>
          <w:kern w:val="0"/>
          <w:sz w:val="36"/>
          <w:szCs w:val="36"/>
        </w:rPr>
        <w:t>目</w:t>
      </w:r>
      <w:r>
        <w:rPr>
          <w:rFonts w:ascii="方正小标宋简体" w:eastAsia="方正小标宋简体" w:hAnsi="方正小标宋简体" w:cs="方正小标宋简体" w:hint="eastAsia"/>
          <w:color w:val="auto"/>
          <w:kern w:val="0"/>
          <w:sz w:val="36"/>
          <w:szCs w:val="36"/>
          <w:lang w:val="en-US"/>
        </w:rPr>
        <w:t> </w:t>
      </w:r>
      <w:r>
        <w:rPr>
          <w:rFonts w:ascii="方正小标宋简体" w:eastAsia="方正小标宋简体" w:hAnsi="方正小标宋简体" w:cs="方正小标宋简体" w:hint="eastAsia"/>
          <w:color w:val="auto"/>
          <w:kern w:val="0"/>
          <w:sz w:val="36"/>
          <w:szCs w:val="36"/>
        </w:rPr>
        <w:t>录</w:t>
      </w:r>
    </w:p>
    <w:p>
      <w:pPr>
        <w:keepNext w:val="0"/>
        <w:keepLines w:val="0"/>
        <w:pageBreakBefore w:val="0"/>
        <w:widowControl/>
        <w:suppressLineNumbers w:val="0"/>
        <w:kinsoku/>
        <w:wordWrap/>
        <w:overflowPunct/>
        <w:topLinePunct/>
        <w:autoSpaceDE w:val="0"/>
        <w:autoSpaceDN w:val="0"/>
        <w:bidi w:val="0"/>
        <w:adjustRightInd/>
        <w:spacing w:beforeAutospacing="0" w:afterAutospacing="0" w:line="590" w:lineRule="exact"/>
        <w:ind w:left="0" w:right="0" w:firstLine="640" w:leftChars="0" w:rightChars="0" w:firstLineChars="200"/>
        <w:jc w:val="both"/>
        <w:textAlignment w:val="auto"/>
        <w:outlineLvl w:val="9"/>
        <w:rPr>
          <w:color w:val="auto"/>
        </w:rPr>
      </w:pPr>
      <w:r>
        <w:rPr>
          <w:rFonts w:ascii="Times New Roman" w:hAnsi="Times New Roman" w:cs="Times New Roman" w:hint="default"/>
          <w:color w:val="auto"/>
          <w:sz w:val="32"/>
          <w:szCs w:val="32"/>
        </w:rPr>
        <w:t> </w:t>
      </w:r>
    </w:p>
    <w:p>
      <w:pPr>
        <w:keepNext w:val="0"/>
        <w:keepLines w:val="0"/>
        <w:pageBreakBefore w:val="0"/>
        <w:widowControl/>
        <w:suppressLineNumbers w:val="0"/>
        <w:kinsoku/>
        <w:wordWrap/>
        <w:overflowPunct/>
        <w:topLinePunct/>
        <w:autoSpaceDE w:val="0"/>
        <w:autoSpaceDN w:val="0"/>
        <w:bidi w:val="0"/>
        <w:adjustRightInd/>
        <w:spacing w:beforeAutospacing="0" w:afterAutospacing="0" w:line="590" w:lineRule="exact"/>
        <w:ind w:left="0" w:right="0" w:firstLine="640" w:leftChars="0" w:rightChars="0" w:firstLineChars="200"/>
        <w:jc w:val="both"/>
        <w:textAlignment w:val="auto"/>
        <w:outlineLvl w:val="9"/>
        <w:rPr>
          <w:rFonts w:ascii="黑体" w:eastAsia="黑体" w:hAnsi="黑体" w:cs="黑体" w:hint="eastAsia"/>
          <w:color w:val="auto"/>
          <w:sz w:val="32"/>
          <w:szCs w:val="32"/>
        </w:rPr>
      </w:pPr>
      <w:r>
        <w:rPr>
          <w:rFonts w:ascii="黑体" w:eastAsia="黑体" w:hAnsi="黑体" w:cs="黑体" w:hint="eastAsia"/>
          <w:color w:val="auto"/>
          <w:sz w:val="32"/>
          <w:szCs w:val="32"/>
        </w:rPr>
        <w:t>第一部分  澄江市社会保险局概况</w:t>
      </w:r>
    </w:p>
    <w:p>
      <w:pPr>
        <w:keepNext w:val="0"/>
        <w:keepLines w:val="0"/>
        <w:pageBreakBefore w:val="0"/>
        <w:widowControl/>
        <w:suppressLineNumbers w:val="0"/>
        <w:kinsoku/>
        <w:wordWrap/>
        <w:overflowPunct/>
        <w:topLinePunct/>
        <w:autoSpaceDE w:val="0"/>
        <w:autoSpaceDN w:val="0"/>
        <w:bidi w:val="0"/>
        <w:adjustRightInd/>
        <w:spacing w:beforeAutospacing="0" w:afterAutospacing="0" w:line="590" w:lineRule="exact"/>
        <w:ind w:left="0" w:right="0" w:firstLine="640" w:leftChars="0" w:rightChars="0" w:firstLineChars="200"/>
        <w:jc w:val="both"/>
        <w:textAlignment w:val="auto"/>
        <w:outlineLvl w:val="9"/>
        <w:rPr>
          <w:rFonts w:ascii="楷体" w:eastAsia="楷体" w:hAnsi="楷体" w:cs="楷体" w:hint="eastAsia"/>
          <w:color w:val="auto"/>
          <w:sz w:val="32"/>
          <w:szCs w:val="32"/>
        </w:rPr>
      </w:pPr>
      <w:r>
        <w:rPr>
          <w:rFonts w:ascii="楷体" w:eastAsia="楷体" w:hAnsi="楷体" w:cs="楷体" w:hint="eastAsia"/>
          <w:color w:val="auto"/>
          <w:sz w:val="32"/>
          <w:szCs w:val="32"/>
        </w:rPr>
        <w:t>一、主要职能</w:t>
      </w:r>
    </w:p>
    <w:p>
      <w:pPr>
        <w:keepNext w:val="0"/>
        <w:keepLines w:val="0"/>
        <w:pageBreakBefore w:val="0"/>
        <w:widowControl/>
        <w:suppressLineNumbers w:val="0"/>
        <w:kinsoku/>
        <w:wordWrap/>
        <w:overflowPunct/>
        <w:topLinePunct/>
        <w:autoSpaceDE w:val="0"/>
        <w:autoSpaceDN w:val="0"/>
        <w:bidi w:val="0"/>
        <w:adjustRightInd/>
        <w:spacing w:beforeAutospacing="0" w:afterAutospacing="0" w:line="590" w:lineRule="exact"/>
        <w:ind w:left="0" w:right="0" w:firstLine="640" w:leftChars="0" w:rightChars="0" w:firstLineChars="200"/>
        <w:jc w:val="both"/>
        <w:textAlignment w:val="auto"/>
        <w:outlineLvl w:val="9"/>
        <w:rPr>
          <w:rFonts w:ascii="楷体" w:eastAsia="楷体" w:hAnsi="楷体" w:cs="楷体" w:hint="eastAsia"/>
          <w:color w:val="auto"/>
          <w:sz w:val="32"/>
          <w:szCs w:val="32"/>
        </w:rPr>
      </w:pPr>
      <w:r>
        <w:rPr>
          <w:rFonts w:ascii="楷体" w:eastAsia="楷体" w:hAnsi="楷体" w:cs="楷体" w:hint="eastAsia"/>
          <w:color w:val="auto"/>
          <w:sz w:val="32"/>
          <w:szCs w:val="32"/>
        </w:rPr>
        <w:t>二、部门基本情况</w:t>
      </w:r>
    </w:p>
    <w:p>
      <w:pPr>
        <w:keepNext w:val="0"/>
        <w:keepLines w:val="0"/>
        <w:pageBreakBefore w:val="0"/>
        <w:widowControl/>
        <w:suppressLineNumbers w:val="0"/>
        <w:kinsoku/>
        <w:wordWrap/>
        <w:overflowPunct/>
        <w:topLinePunct/>
        <w:autoSpaceDE w:val="0"/>
        <w:autoSpaceDN w:val="0"/>
        <w:bidi w:val="0"/>
        <w:adjustRightInd/>
        <w:spacing w:beforeAutospacing="0" w:afterAutospacing="0" w:line="590" w:lineRule="exact"/>
        <w:ind w:left="0" w:right="0" w:firstLine="640" w:leftChars="0" w:rightChars="0" w:firstLineChars="200"/>
        <w:jc w:val="both"/>
        <w:textAlignment w:val="auto"/>
        <w:outlineLvl w:val="9"/>
        <w:rPr>
          <w:rFonts w:ascii="黑体" w:eastAsia="黑体" w:hAnsi="黑体" w:cs="黑体" w:hint="eastAsia"/>
          <w:color w:val="auto"/>
          <w:sz w:val="32"/>
          <w:szCs w:val="32"/>
        </w:rPr>
      </w:pPr>
      <w:r>
        <w:rPr>
          <w:rFonts w:ascii="黑体" w:eastAsia="黑体" w:hAnsi="黑体" w:cs="黑体" w:hint="eastAsia"/>
          <w:color w:val="auto"/>
          <w:sz w:val="32"/>
          <w:szCs w:val="32"/>
        </w:rPr>
        <w:t>第二部分  2021年度部门决算表</w:t>
      </w:r>
    </w:p>
    <w:p>
      <w:pPr>
        <w:keepNext w:val="0"/>
        <w:keepLines w:val="0"/>
        <w:pageBreakBefore w:val="0"/>
        <w:widowControl/>
        <w:suppressLineNumbers w:val="0"/>
        <w:kinsoku/>
        <w:wordWrap/>
        <w:overflowPunct/>
        <w:topLinePunct/>
        <w:autoSpaceDE w:val="0"/>
        <w:autoSpaceDN w:val="0"/>
        <w:bidi w:val="0"/>
        <w:adjustRightInd/>
        <w:spacing w:beforeAutospacing="0" w:afterAutospacing="0" w:line="590" w:lineRule="exact"/>
        <w:ind w:left="0" w:right="0" w:firstLine="640" w:leftChars="0" w:rightChars="0" w:firstLineChars="200"/>
        <w:jc w:val="both"/>
        <w:textAlignment w:val="auto"/>
        <w:outlineLvl w:val="9"/>
        <w:rPr>
          <w:rFonts w:ascii="楷体" w:eastAsia="楷体" w:hAnsi="楷体" w:cs="楷体" w:hint="eastAsia"/>
          <w:color w:val="auto"/>
          <w:sz w:val="32"/>
          <w:szCs w:val="32"/>
        </w:rPr>
      </w:pPr>
      <w:r>
        <w:rPr>
          <w:rFonts w:ascii="楷体" w:eastAsia="楷体" w:hAnsi="楷体" w:cs="楷体" w:hint="eastAsia"/>
          <w:color w:val="auto"/>
          <w:sz w:val="32"/>
          <w:szCs w:val="32"/>
        </w:rPr>
        <w:t>一、收入支出决算总表</w:t>
      </w:r>
    </w:p>
    <w:p>
      <w:pPr>
        <w:keepNext w:val="0"/>
        <w:keepLines w:val="0"/>
        <w:pageBreakBefore w:val="0"/>
        <w:widowControl/>
        <w:suppressLineNumbers w:val="0"/>
        <w:kinsoku/>
        <w:wordWrap/>
        <w:overflowPunct/>
        <w:topLinePunct/>
        <w:autoSpaceDE w:val="0"/>
        <w:autoSpaceDN w:val="0"/>
        <w:bidi w:val="0"/>
        <w:adjustRightInd/>
        <w:spacing w:beforeAutospacing="0" w:afterAutospacing="0" w:line="590" w:lineRule="exact"/>
        <w:ind w:left="0" w:right="0" w:firstLine="640" w:leftChars="0" w:rightChars="0" w:firstLineChars="200"/>
        <w:jc w:val="both"/>
        <w:textAlignment w:val="auto"/>
        <w:outlineLvl w:val="9"/>
        <w:rPr>
          <w:rFonts w:ascii="楷体" w:eastAsia="楷体" w:hAnsi="楷体" w:cs="楷体" w:hint="eastAsia"/>
          <w:color w:val="auto"/>
          <w:sz w:val="32"/>
          <w:szCs w:val="32"/>
        </w:rPr>
      </w:pPr>
      <w:r>
        <w:rPr>
          <w:rFonts w:ascii="楷体" w:eastAsia="楷体" w:hAnsi="楷体" w:cs="楷体" w:hint="eastAsia"/>
          <w:color w:val="auto"/>
          <w:sz w:val="32"/>
          <w:szCs w:val="32"/>
        </w:rPr>
        <w:t>二、收入决算表</w:t>
      </w:r>
    </w:p>
    <w:p>
      <w:pPr>
        <w:keepNext w:val="0"/>
        <w:keepLines w:val="0"/>
        <w:pageBreakBefore w:val="0"/>
        <w:widowControl/>
        <w:suppressLineNumbers w:val="0"/>
        <w:kinsoku/>
        <w:wordWrap/>
        <w:overflowPunct/>
        <w:topLinePunct/>
        <w:autoSpaceDE w:val="0"/>
        <w:autoSpaceDN w:val="0"/>
        <w:bidi w:val="0"/>
        <w:adjustRightInd/>
        <w:spacing w:beforeAutospacing="0" w:afterAutospacing="0" w:line="590" w:lineRule="exact"/>
        <w:ind w:left="0" w:right="0" w:firstLine="640" w:leftChars="0" w:rightChars="0" w:firstLineChars="200"/>
        <w:jc w:val="both"/>
        <w:textAlignment w:val="auto"/>
        <w:outlineLvl w:val="9"/>
        <w:rPr>
          <w:rFonts w:ascii="楷体" w:eastAsia="楷体" w:hAnsi="楷体" w:cs="楷体" w:hint="eastAsia"/>
          <w:color w:val="auto"/>
          <w:sz w:val="32"/>
          <w:szCs w:val="32"/>
        </w:rPr>
      </w:pPr>
      <w:r>
        <w:rPr>
          <w:rFonts w:ascii="楷体" w:eastAsia="楷体" w:hAnsi="楷体" w:cs="楷体" w:hint="eastAsia"/>
          <w:color w:val="auto"/>
          <w:sz w:val="32"/>
          <w:szCs w:val="32"/>
        </w:rPr>
        <w:t>三、支出决算表</w:t>
      </w:r>
    </w:p>
    <w:p>
      <w:pPr>
        <w:keepNext w:val="0"/>
        <w:keepLines w:val="0"/>
        <w:pageBreakBefore w:val="0"/>
        <w:widowControl/>
        <w:suppressLineNumbers w:val="0"/>
        <w:kinsoku/>
        <w:wordWrap/>
        <w:overflowPunct/>
        <w:topLinePunct/>
        <w:autoSpaceDE w:val="0"/>
        <w:autoSpaceDN w:val="0"/>
        <w:bidi w:val="0"/>
        <w:adjustRightInd/>
        <w:spacing w:beforeAutospacing="0" w:afterAutospacing="0" w:line="590" w:lineRule="exact"/>
        <w:ind w:left="0" w:right="0" w:firstLine="640" w:leftChars="0" w:rightChars="0" w:firstLineChars="200"/>
        <w:jc w:val="both"/>
        <w:textAlignment w:val="auto"/>
        <w:outlineLvl w:val="9"/>
        <w:rPr>
          <w:rFonts w:ascii="楷体" w:eastAsia="楷体" w:hAnsi="楷体" w:cs="楷体" w:hint="eastAsia"/>
          <w:color w:val="auto"/>
          <w:sz w:val="32"/>
          <w:szCs w:val="32"/>
        </w:rPr>
      </w:pPr>
      <w:r>
        <w:rPr>
          <w:rFonts w:ascii="楷体" w:eastAsia="楷体" w:hAnsi="楷体" w:cs="楷体" w:hint="eastAsia"/>
          <w:color w:val="auto"/>
          <w:sz w:val="32"/>
          <w:szCs w:val="32"/>
        </w:rPr>
        <w:t>四、财政拨款收入支出决算总表</w:t>
      </w:r>
    </w:p>
    <w:p>
      <w:pPr>
        <w:keepNext w:val="0"/>
        <w:keepLines w:val="0"/>
        <w:pageBreakBefore w:val="0"/>
        <w:widowControl/>
        <w:suppressLineNumbers w:val="0"/>
        <w:kinsoku/>
        <w:wordWrap/>
        <w:overflowPunct/>
        <w:topLinePunct/>
        <w:autoSpaceDE w:val="0"/>
        <w:autoSpaceDN w:val="0"/>
        <w:bidi w:val="0"/>
        <w:adjustRightInd/>
        <w:spacing w:beforeAutospacing="0" w:afterAutospacing="0" w:line="590" w:lineRule="exact"/>
        <w:ind w:left="0" w:right="0" w:firstLine="640" w:leftChars="0" w:rightChars="0" w:firstLineChars="200"/>
        <w:jc w:val="both"/>
        <w:textAlignment w:val="auto"/>
        <w:outlineLvl w:val="9"/>
        <w:rPr>
          <w:rFonts w:ascii="楷体" w:eastAsia="楷体" w:hAnsi="楷体" w:cs="楷体" w:hint="eastAsia"/>
          <w:color w:val="auto"/>
          <w:sz w:val="32"/>
          <w:szCs w:val="32"/>
        </w:rPr>
      </w:pPr>
      <w:r>
        <w:rPr>
          <w:rFonts w:ascii="楷体" w:eastAsia="楷体" w:hAnsi="楷体" w:cs="楷体" w:hint="eastAsia"/>
          <w:color w:val="auto"/>
          <w:sz w:val="32"/>
          <w:szCs w:val="32"/>
        </w:rPr>
        <w:t>五、一般公共预算财政拨款收入支出决算表</w:t>
      </w:r>
    </w:p>
    <w:p>
      <w:pPr>
        <w:keepNext w:val="0"/>
        <w:keepLines w:val="0"/>
        <w:pageBreakBefore w:val="0"/>
        <w:widowControl/>
        <w:suppressLineNumbers w:val="0"/>
        <w:kinsoku/>
        <w:wordWrap/>
        <w:overflowPunct/>
        <w:topLinePunct/>
        <w:autoSpaceDE w:val="0"/>
        <w:autoSpaceDN w:val="0"/>
        <w:bidi w:val="0"/>
        <w:adjustRightInd/>
        <w:spacing w:beforeAutospacing="0" w:afterAutospacing="0" w:line="590" w:lineRule="exact"/>
        <w:ind w:left="0" w:right="0" w:firstLine="640" w:leftChars="0" w:rightChars="0" w:firstLineChars="200"/>
        <w:jc w:val="both"/>
        <w:textAlignment w:val="auto"/>
        <w:outlineLvl w:val="9"/>
        <w:rPr>
          <w:rFonts w:ascii="楷体" w:eastAsia="楷体" w:hAnsi="楷体" w:cs="楷体" w:hint="eastAsia"/>
          <w:color w:val="auto"/>
          <w:sz w:val="32"/>
          <w:szCs w:val="32"/>
        </w:rPr>
      </w:pPr>
      <w:r>
        <w:rPr>
          <w:rFonts w:ascii="楷体" w:eastAsia="楷体" w:hAnsi="楷体" w:cs="楷体" w:hint="eastAsia"/>
          <w:color w:val="auto"/>
          <w:sz w:val="32"/>
          <w:szCs w:val="32"/>
        </w:rPr>
        <w:t>六、一般公共预算财政拨款基本支出决算表</w:t>
      </w:r>
    </w:p>
    <w:p>
      <w:pPr>
        <w:keepNext w:val="0"/>
        <w:keepLines w:val="0"/>
        <w:pageBreakBefore w:val="0"/>
        <w:widowControl/>
        <w:suppressLineNumbers w:val="0"/>
        <w:kinsoku/>
        <w:wordWrap/>
        <w:overflowPunct/>
        <w:topLinePunct/>
        <w:autoSpaceDE w:val="0"/>
        <w:autoSpaceDN w:val="0"/>
        <w:bidi w:val="0"/>
        <w:adjustRightInd/>
        <w:spacing w:beforeAutospacing="0" w:afterAutospacing="0" w:line="590" w:lineRule="exact"/>
        <w:ind w:left="0" w:right="0" w:firstLine="640" w:leftChars="0" w:rightChars="0" w:firstLineChars="200"/>
        <w:jc w:val="both"/>
        <w:textAlignment w:val="auto"/>
        <w:outlineLvl w:val="9"/>
        <w:rPr>
          <w:rFonts w:ascii="楷体" w:eastAsia="楷体" w:hAnsi="楷体" w:cs="楷体" w:hint="eastAsia"/>
          <w:color w:val="auto"/>
          <w:sz w:val="32"/>
          <w:szCs w:val="32"/>
        </w:rPr>
      </w:pPr>
      <w:r>
        <w:rPr>
          <w:rFonts w:ascii="楷体" w:eastAsia="楷体" w:hAnsi="楷体" w:cs="楷体" w:hint="eastAsia"/>
          <w:color w:val="auto"/>
          <w:sz w:val="32"/>
          <w:szCs w:val="32"/>
        </w:rPr>
        <w:t>七、政府性基金预算财政拨款收入支出决算表</w:t>
      </w:r>
    </w:p>
    <w:p>
      <w:pPr>
        <w:keepNext w:val="0"/>
        <w:keepLines w:val="0"/>
        <w:pageBreakBefore w:val="0"/>
        <w:widowControl/>
        <w:suppressLineNumbers w:val="0"/>
        <w:kinsoku/>
        <w:wordWrap/>
        <w:overflowPunct/>
        <w:topLinePunct/>
        <w:autoSpaceDE w:val="0"/>
        <w:autoSpaceDN w:val="0"/>
        <w:bidi w:val="0"/>
        <w:adjustRightInd/>
        <w:spacing w:beforeAutospacing="0" w:afterAutospacing="0" w:line="590" w:lineRule="exact"/>
        <w:ind w:left="0" w:right="0" w:firstLine="640" w:leftChars="0" w:rightChars="0" w:firstLineChars="200"/>
        <w:jc w:val="both"/>
        <w:textAlignment w:val="auto"/>
        <w:outlineLvl w:val="9"/>
        <w:rPr>
          <w:rFonts w:ascii="楷体" w:eastAsia="楷体" w:hAnsi="楷体" w:cs="楷体" w:hint="eastAsia"/>
          <w:color w:val="auto"/>
          <w:sz w:val="32"/>
          <w:szCs w:val="32"/>
        </w:rPr>
      </w:pPr>
      <w:r>
        <w:rPr>
          <w:rFonts w:ascii="楷体" w:eastAsia="楷体" w:hAnsi="楷体" w:cs="楷体" w:hint="eastAsia"/>
          <w:color w:val="auto"/>
          <w:sz w:val="32"/>
          <w:szCs w:val="32"/>
        </w:rPr>
        <w:t>八、国有资本经营预算财政拨款收入支出决算表</w:t>
      </w:r>
    </w:p>
    <w:p>
      <w:pPr>
        <w:keepNext w:val="0"/>
        <w:keepLines w:val="0"/>
        <w:pageBreakBefore w:val="0"/>
        <w:widowControl/>
        <w:suppressLineNumbers w:val="0"/>
        <w:kinsoku/>
        <w:wordWrap/>
        <w:overflowPunct/>
        <w:topLinePunct/>
        <w:autoSpaceDE w:val="0"/>
        <w:autoSpaceDN w:val="0"/>
        <w:bidi w:val="0"/>
        <w:adjustRightInd/>
        <w:spacing w:beforeAutospacing="0" w:afterAutospacing="0" w:line="590" w:lineRule="exact"/>
        <w:ind w:left="0" w:right="0" w:firstLine="640" w:leftChars="0" w:rightChars="0" w:firstLineChars="200"/>
        <w:jc w:val="both"/>
        <w:textAlignment w:val="auto"/>
        <w:outlineLvl w:val="9"/>
        <w:rPr>
          <w:rFonts w:ascii="楷体" w:eastAsia="楷体" w:hAnsi="楷体" w:cs="楷体" w:hint="eastAsia"/>
          <w:color w:val="auto"/>
          <w:sz w:val="32"/>
          <w:szCs w:val="32"/>
        </w:rPr>
      </w:pPr>
      <w:r>
        <w:rPr>
          <w:rFonts w:ascii="楷体" w:eastAsia="楷体" w:hAnsi="楷体" w:cs="楷体" w:hint="eastAsia"/>
          <w:color w:val="auto"/>
          <w:sz w:val="32"/>
          <w:szCs w:val="32"/>
        </w:rPr>
        <w:t>九、“三公”经费、行政参公单位机关运行经费情况表</w:t>
      </w:r>
    </w:p>
    <w:p>
      <w:pPr>
        <w:keepNext w:val="0"/>
        <w:keepLines w:val="0"/>
        <w:pageBreakBefore w:val="0"/>
        <w:widowControl/>
        <w:suppressLineNumbers w:val="0"/>
        <w:kinsoku/>
        <w:wordWrap/>
        <w:overflowPunct/>
        <w:topLinePunct/>
        <w:autoSpaceDE w:val="0"/>
        <w:autoSpaceDN w:val="0"/>
        <w:bidi w:val="0"/>
        <w:adjustRightInd/>
        <w:spacing w:beforeAutospacing="0" w:afterAutospacing="0" w:line="590" w:lineRule="exact"/>
        <w:ind w:left="0" w:right="0" w:firstLine="640" w:leftChars="0" w:rightChars="0" w:firstLineChars="200"/>
        <w:jc w:val="both"/>
        <w:textAlignment w:val="auto"/>
        <w:outlineLvl w:val="9"/>
        <w:rPr>
          <w:rFonts w:ascii="黑体" w:eastAsia="黑体" w:hAnsi="黑体" w:cs="黑体" w:hint="eastAsia"/>
          <w:color w:val="auto"/>
          <w:sz w:val="32"/>
          <w:szCs w:val="32"/>
        </w:rPr>
      </w:pPr>
      <w:r>
        <w:rPr>
          <w:rFonts w:ascii="黑体" w:eastAsia="黑体" w:hAnsi="黑体" w:cs="黑体" w:hint="eastAsia"/>
          <w:color w:val="auto"/>
          <w:sz w:val="32"/>
          <w:szCs w:val="32"/>
        </w:rPr>
        <w:t>第三部分</w:t>
      </w:r>
      <w:r>
        <w:rPr>
          <w:rFonts w:ascii="黑体" w:eastAsia="黑体" w:hAnsi="黑体" w:cs="黑体" w:hint="default"/>
          <w:color w:val="auto"/>
          <w:sz w:val="32"/>
          <w:szCs w:val="32"/>
        </w:rPr>
        <w:t>  2021</w:t>
      </w:r>
      <w:r>
        <w:rPr>
          <w:rFonts w:ascii="黑体" w:eastAsia="黑体" w:hAnsi="黑体" w:cs="黑体" w:hint="eastAsia"/>
          <w:color w:val="auto"/>
          <w:sz w:val="32"/>
          <w:szCs w:val="32"/>
        </w:rPr>
        <w:t>年度部门决算情况说明</w:t>
      </w:r>
    </w:p>
    <w:p>
      <w:pPr>
        <w:keepNext w:val="0"/>
        <w:keepLines w:val="0"/>
        <w:pageBreakBefore w:val="0"/>
        <w:widowControl/>
        <w:suppressLineNumbers w:val="0"/>
        <w:kinsoku/>
        <w:wordWrap/>
        <w:overflowPunct/>
        <w:topLinePunct/>
        <w:autoSpaceDE w:val="0"/>
        <w:autoSpaceDN w:val="0"/>
        <w:bidi w:val="0"/>
        <w:adjustRightInd/>
        <w:spacing w:beforeAutospacing="0" w:afterAutospacing="0" w:line="590" w:lineRule="exact"/>
        <w:ind w:left="0" w:right="0" w:firstLine="640" w:leftChars="0" w:rightChars="0" w:firstLineChars="200"/>
        <w:jc w:val="both"/>
        <w:textAlignment w:val="auto"/>
        <w:outlineLvl w:val="9"/>
        <w:rPr>
          <w:rFonts w:ascii="楷体" w:eastAsia="楷体" w:hAnsi="楷体" w:cs="楷体" w:hint="eastAsia"/>
          <w:color w:val="auto"/>
          <w:sz w:val="32"/>
          <w:szCs w:val="32"/>
        </w:rPr>
      </w:pPr>
      <w:r>
        <w:rPr>
          <w:rFonts w:ascii="楷体" w:eastAsia="楷体" w:hAnsi="楷体" w:cs="楷体" w:hint="eastAsia"/>
          <w:color w:val="auto"/>
          <w:sz w:val="32"/>
          <w:szCs w:val="32"/>
        </w:rPr>
        <w:t>一、收入决算情况说明</w:t>
      </w:r>
    </w:p>
    <w:p>
      <w:pPr>
        <w:keepNext w:val="0"/>
        <w:keepLines w:val="0"/>
        <w:pageBreakBefore w:val="0"/>
        <w:widowControl/>
        <w:suppressLineNumbers w:val="0"/>
        <w:kinsoku/>
        <w:wordWrap/>
        <w:overflowPunct/>
        <w:topLinePunct/>
        <w:autoSpaceDE w:val="0"/>
        <w:autoSpaceDN w:val="0"/>
        <w:bidi w:val="0"/>
        <w:adjustRightInd/>
        <w:spacing w:beforeAutospacing="0" w:afterAutospacing="0" w:line="590" w:lineRule="exact"/>
        <w:ind w:left="0" w:right="0" w:firstLine="640" w:leftChars="0" w:rightChars="0" w:firstLineChars="200"/>
        <w:jc w:val="both"/>
        <w:textAlignment w:val="auto"/>
        <w:outlineLvl w:val="9"/>
        <w:rPr>
          <w:rFonts w:ascii="楷体" w:eastAsia="楷体" w:hAnsi="楷体" w:cs="楷体" w:hint="eastAsia"/>
          <w:color w:val="auto"/>
          <w:sz w:val="32"/>
          <w:szCs w:val="32"/>
        </w:rPr>
      </w:pPr>
      <w:r>
        <w:rPr>
          <w:rFonts w:ascii="楷体" w:eastAsia="楷体" w:hAnsi="楷体" w:cs="楷体" w:hint="eastAsia"/>
          <w:color w:val="auto"/>
          <w:sz w:val="32"/>
          <w:szCs w:val="32"/>
        </w:rPr>
        <w:t>二、支出决算情况说明</w:t>
      </w:r>
    </w:p>
    <w:p>
      <w:pPr>
        <w:keepNext w:val="0"/>
        <w:keepLines w:val="0"/>
        <w:pageBreakBefore w:val="0"/>
        <w:widowControl/>
        <w:suppressLineNumbers w:val="0"/>
        <w:kinsoku/>
        <w:wordWrap/>
        <w:overflowPunct/>
        <w:topLinePunct/>
        <w:autoSpaceDE w:val="0"/>
        <w:autoSpaceDN w:val="0"/>
        <w:bidi w:val="0"/>
        <w:adjustRightInd/>
        <w:spacing w:beforeAutospacing="0" w:afterAutospacing="0" w:line="590" w:lineRule="exact"/>
        <w:ind w:left="0" w:right="0" w:firstLine="640" w:leftChars="0" w:rightChars="0" w:firstLineChars="200"/>
        <w:jc w:val="both"/>
        <w:textAlignment w:val="auto"/>
        <w:outlineLvl w:val="9"/>
        <w:rPr>
          <w:rFonts w:ascii="楷体" w:eastAsia="楷体" w:hAnsi="楷体" w:cs="楷体" w:hint="eastAsia"/>
          <w:color w:val="auto"/>
          <w:sz w:val="32"/>
          <w:szCs w:val="32"/>
        </w:rPr>
      </w:pPr>
      <w:r>
        <w:rPr>
          <w:rFonts w:ascii="楷体" w:eastAsia="楷体" w:hAnsi="楷体" w:cs="楷体" w:hint="eastAsia"/>
          <w:color w:val="auto"/>
          <w:sz w:val="32"/>
          <w:szCs w:val="32"/>
        </w:rPr>
        <w:t>三、一般公共预算财政拨款支出决算情况说明</w:t>
      </w:r>
    </w:p>
    <w:p>
      <w:pPr>
        <w:keepNext w:val="0"/>
        <w:keepLines w:val="0"/>
        <w:pageBreakBefore w:val="0"/>
        <w:widowControl/>
        <w:suppressLineNumbers w:val="0"/>
        <w:kinsoku/>
        <w:wordWrap/>
        <w:overflowPunct/>
        <w:topLinePunct/>
        <w:autoSpaceDE w:val="0"/>
        <w:autoSpaceDN w:val="0"/>
        <w:bidi w:val="0"/>
        <w:adjustRightInd/>
        <w:spacing w:beforeAutospacing="0" w:afterAutospacing="0" w:line="590" w:lineRule="exact"/>
        <w:ind w:left="0" w:right="0" w:firstLine="640" w:leftChars="0" w:rightChars="0" w:firstLineChars="200"/>
        <w:jc w:val="both"/>
        <w:textAlignment w:val="auto"/>
        <w:outlineLvl w:val="9"/>
        <w:rPr>
          <w:rFonts w:ascii="楷体" w:eastAsia="楷体" w:hAnsi="楷体" w:cs="楷体" w:hint="eastAsia"/>
          <w:color w:val="auto"/>
          <w:sz w:val="32"/>
          <w:szCs w:val="32"/>
        </w:rPr>
      </w:pPr>
      <w:r>
        <w:rPr>
          <w:rFonts w:ascii="楷体" w:eastAsia="楷体" w:hAnsi="楷体" w:cs="楷体" w:hint="eastAsia"/>
          <w:color w:val="auto"/>
          <w:sz w:val="32"/>
          <w:szCs w:val="32"/>
        </w:rPr>
        <w:t>四、一般公共预算财政拨款“三公”经费支出决算情况说明 </w:t>
      </w:r>
    </w:p>
    <w:p>
      <w:pPr>
        <w:keepNext w:val="0"/>
        <w:keepLines w:val="0"/>
        <w:pageBreakBefore w:val="0"/>
        <w:widowControl/>
        <w:suppressLineNumbers w:val="0"/>
        <w:kinsoku/>
        <w:wordWrap/>
        <w:overflowPunct/>
        <w:topLinePunct/>
        <w:autoSpaceDE w:val="0"/>
        <w:autoSpaceDN w:val="0"/>
        <w:bidi w:val="0"/>
        <w:adjustRightInd/>
        <w:spacing w:beforeAutospacing="0" w:afterAutospacing="0" w:line="590" w:lineRule="exact"/>
        <w:ind w:left="0" w:right="0" w:firstLine="640" w:leftChars="0" w:rightChars="0" w:firstLineChars="200"/>
        <w:jc w:val="both"/>
        <w:textAlignment w:val="auto"/>
        <w:outlineLvl w:val="9"/>
        <w:rPr>
          <w:rFonts w:ascii="黑体" w:eastAsia="黑体" w:hAnsi="黑体" w:cs="黑体" w:hint="eastAsia"/>
          <w:color w:val="auto"/>
          <w:sz w:val="32"/>
          <w:szCs w:val="32"/>
        </w:rPr>
      </w:pPr>
      <w:r>
        <w:rPr>
          <w:rFonts w:ascii="黑体" w:eastAsia="黑体" w:hAnsi="黑体" w:cs="黑体" w:hint="eastAsia"/>
          <w:color w:val="auto"/>
          <w:sz w:val="32"/>
          <w:szCs w:val="32"/>
        </w:rPr>
        <w:t>第四部分</w:t>
      </w:r>
      <w:r>
        <w:rPr>
          <w:rFonts w:ascii="黑体" w:eastAsia="黑体" w:hAnsi="黑体" w:cs="黑体" w:hint="default"/>
          <w:color w:val="auto"/>
          <w:sz w:val="32"/>
          <w:szCs w:val="32"/>
        </w:rPr>
        <w:t xml:space="preserve">  </w:t>
      </w:r>
      <w:r>
        <w:rPr>
          <w:rFonts w:ascii="黑体" w:eastAsia="黑体" w:hAnsi="黑体" w:cs="黑体" w:hint="eastAsia"/>
          <w:color w:val="auto"/>
          <w:sz w:val="32"/>
          <w:szCs w:val="32"/>
        </w:rPr>
        <w:t>其他重要事项及相关口径情况说明</w:t>
      </w:r>
    </w:p>
    <w:p>
      <w:pPr>
        <w:keepNext w:val="0"/>
        <w:keepLines w:val="0"/>
        <w:pageBreakBefore w:val="0"/>
        <w:widowControl/>
        <w:suppressLineNumbers w:val="0"/>
        <w:kinsoku/>
        <w:wordWrap/>
        <w:overflowPunct/>
        <w:topLinePunct/>
        <w:autoSpaceDE w:val="0"/>
        <w:autoSpaceDN w:val="0"/>
        <w:bidi w:val="0"/>
        <w:adjustRightInd/>
        <w:spacing w:beforeAutospacing="0" w:afterAutospacing="0" w:line="590" w:lineRule="exact"/>
        <w:ind w:left="0" w:right="0" w:firstLine="640" w:leftChars="0" w:rightChars="0" w:firstLineChars="200"/>
        <w:jc w:val="both"/>
        <w:textAlignment w:val="auto"/>
        <w:outlineLvl w:val="9"/>
        <w:rPr>
          <w:rFonts w:ascii="楷体" w:eastAsia="楷体" w:hAnsi="楷体" w:cs="楷体" w:hint="eastAsia"/>
          <w:color w:val="auto"/>
          <w:sz w:val="32"/>
          <w:szCs w:val="32"/>
        </w:rPr>
      </w:pPr>
      <w:r>
        <w:rPr>
          <w:rFonts w:ascii="楷体" w:eastAsia="楷体" w:hAnsi="楷体" w:cs="楷体" w:hint="eastAsia"/>
          <w:color w:val="auto"/>
          <w:sz w:val="32"/>
          <w:szCs w:val="32"/>
        </w:rPr>
        <w:t>一、机关运行经费支出情况</w:t>
      </w:r>
    </w:p>
    <w:p>
      <w:pPr>
        <w:keepNext w:val="0"/>
        <w:keepLines w:val="0"/>
        <w:pageBreakBefore w:val="0"/>
        <w:widowControl/>
        <w:suppressLineNumbers w:val="0"/>
        <w:kinsoku/>
        <w:wordWrap/>
        <w:overflowPunct/>
        <w:topLinePunct/>
        <w:autoSpaceDE w:val="0"/>
        <w:autoSpaceDN w:val="0"/>
        <w:bidi w:val="0"/>
        <w:adjustRightInd/>
        <w:spacing w:beforeAutospacing="0" w:afterAutospacing="0" w:line="590" w:lineRule="exact"/>
        <w:ind w:left="0" w:right="0" w:firstLine="640" w:leftChars="0" w:rightChars="0" w:firstLineChars="200"/>
        <w:jc w:val="both"/>
        <w:textAlignment w:val="auto"/>
        <w:outlineLvl w:val="9"/>
        <w:rPr>
          <w:rFonts w:ascii="楷体" w:eastAsia="楷体" w:hAnsi="楷体" w:cs="楷体" w:hint="eastAsia"/>
          <w:color w:val="auto"/>
          <w:sz w:val="32"/>
          <w:szCs w:val="32"/>
        </w:rPr>
      </w:pPr>
      <w:r>
        <w:rPr>
          <w:rFonts w:ascii="楷体" w:eastAsia="楷体" w:hAnsi="楷体" w:cs="楷体" w:hint="eastAsia"/>
          <w:color w:val="auto"/>
          <w:sz w:val="32"/>
          <w:szCs w:val="32"/>
        </w:rPr>
        <w:t>二、国有资产占用情况</w:t>
      </w:r>
    </w:p>
    <w:p>
      <w:pPr>
        <w:keepNext w:val="0"/>
        <w:keepLines w:val="0"/>
        <w:pageBreakBefore w:val="0"/>
        <w:widowControl/>
        <w:suppressLineNumbers w:val="0"/>
        <w:kinsoku/>
        <w:wordWrap/>
        <w:overflowPunct/>
        <w:topLinePunct/>
        <w:autoSpaceDE w:val="0"/>
        <w:autoSpaceDN w:val="0"/>
        <w:bidi w:val="0"/>
        <w:adjustRightInd/>
        <w:spacing w:beforeAutospacing="0" w:afterAutospacing="0" w:line="590" w:lineRule="exact"/>
        <w:ind w:left="0" w:right="0" w:firstLine="640" w:leftChars="0" w:rightChars="0" w:firstLineChars="200"/>
        <w:jc w:val="both"/>
        <w:textAlignment w:val="auto"/>
        <w:outlineLvl w:val="9"/>
        <w:rPr>
          <w:rFonts w:ascii="楷体" w:eastAsia="楷体" w:hAnsi="楷体" w:cs="楷体" w:hint="eastAsia"/>
          <w:color w:val="auto"/>
          <w:sz w:val="32"/>
          <w:szCs w:val="32"/>
        </w:rPr>
      </w:pPr>
      <w:r>
        <w:rPr>
          <w:rFonts w:ascii="楷体" w:eastAsia="楷体" w:hAnsi="楷体" w:cs="楷体" w:hint="eastAsia"/>
          <w:color w:val="auto"/>
          <w:sz w:val="32"/>
          <w:szCs w:val="32"/>
        </w:rPr>
        <w:t>三、政府采购支出情况</w:t>
      </w:r>
    </w:p>
    <w:p>
      <w:pPr>
        <w:keepNext w:val="0"/>
        <w:keepLines w:val="0"/>
        <w:pageBreakBefore w:val="0"/>
        <w:widowControl/>
        <w:suppressLineNumbers w:val="0"/>
        <w:kinsoku/>
        <w:wordWrap/>
        <w:overflowPunct/>
        <w:topLinePunct/>
        <w:autoSpaceDE w:val="0"/>
        <w:autoSpaceDN w:val="0"/>
        <w:bidi w:val="0"/>
        <w:adjustRightInd/>
        <w:spacing w:beforeAutospacing="0" w:afterAutospacing="0" w:line="590" w:lineRule="exact"/>
        <w:ind w:left="0" w:right="0" w:firstLine="640" w:leftChars="0" w:rightChars="0" w:firstLineChars="200"/>
        <w:jc w:val="both"/>
        <w:textAlignment w:val="auto"/>
        <w:outlineLvl w:val="9"/>
        <w:rPr>
          <w:rFonts w:ascii="楷体" w:eastAsia="楷体" w:hAnsi="楷体" w:cs="楷体" w:hint="eastAsia"/>
          <w:color w:val="auto"/>
          <w:sz w:val="32"/>
          <w:szCs w:val="32"/>
        </w:rPr>
      </w:pPr>
      <w:r>
        <w:rPr>
          <w:rFonts w:ascii="楷体" w:eastAsia="楷体" w:hAnsi="楷体" w:cs="楷体" w:hint="eastAsia"/>
          <w:color w:val="auto"/>
          <w:sz w:val="32"/>
          <w:szCs w:val="32"/>
        </w:rPr>
        <w:t>四、部门绩效自评情况</w:t>
      </w:r>
    </w:p>
    <w:p>
      <w:pPr>
        <w:keepNext w:val="0"/>
        <w:keepLines w:val="0"/>
        <w:pageBreakBefore w:val="0"/>
        <w:widowControl/>
        <w:suppressLineNumbers w:val="0"/>
        <w:kinsoku/>
        <w:wordWrap/>
        <w:overflowPunct/>
        <w:topLinePunct/>
        <w:autoSpaceDE w:val="0"/>
        <w:autoSpaceDN w:val="0"/>
        <w:bidi w:val="0"/>
        <w:adjustRightInd/>
        <w:spacing w:beforeAutospacing="0" w:afterAutospacing="0" w:line="590" w:lineRule="exact"/>
        <w:ind w:left="0" w:right="0" w:firstLine="640" w:leftChars="0" w:rightChars="0" w:firstLineChars="200"/>
        <w:jc w:val="both"/>
        <w:textAlignment w:val="auto"/>
        <w:outlineLvl w:val="9"/>
        <w:rPr>
          <w:rFonts w:ascii="楷体" w:eastAsia="楷体" w:hAnsi="楷体" w:cs="楷体" w:hint="eastAsia"/>
          <w:color w:val="auto"/>
          <w:sz w:val="32"/>
          <w:szCs w:val="32"/>
        </w:rPr>
      </w:pPr>
      <w:r>
        <w:rPr>
          <w:rFonts w:ascii="楷体" w:eastAsia="楷体" w:hAnsi="楷体" w:cs="楷体" w:hint="eastAsia"/>
          <w:color w:val="auto"/>
          <w:sz w:val="32"/>
          <w:szCs w:val="32"/>
        </w:rPr>
        <w:t>（一）部门整体支出绩效自评情况</w:t>
      </w:r>
    </w:p>
    <w:p>
      <w:pPr>
        <w:keepNext w:val="0"/>
        <w:keepLines w:val="0"/>
        <w:pageBreakBefore w:val="0"/>
        <w:widowControl/>
        <w:suppressLineNumbers w:val="0"/>
        <w:kinsoku/>
        <w:wordWrap/>
        <w:overflowPunct/>
        <w:topLinePunct/>
        <w:autoSpaceDE w:val="0"/>
        <w:autoSpaceDN w:val="0"/>
        <w:bidi w:val="0"/>
        <w:adjustRightInd/>
        <w:spacing w:beforeAutospacing="0" w:afterAutospacing="0" w:line="590" w:lineRule="exact"/>
        <w:ind w:left="0" w:right="0" w:firstLine="640" w:leftChars="0" w:rightChars="0" w:firstLineChars="200"/>
        <w:jc w:val="both"/>
        <w:textAlignment w:val="auto"/>
        <w:outlineLvl w:val="9"/>
        <w:rPr>
          <w:rFonts w:ascii="楷体" w:eastAsia="楷体" w:hAnsi="楷体" w:cs="楷体" w:hint="eastAsia"/>
          <w:color w:val="auto"/>
          <w:sz w:val="32"/>
          <w:szCs w:val="32"/>
        </w:rPr>
      </w:pPr>
      <w:r>
        <w:rPr>
          <w:rFonts w:ascii="楷体" w:eastAsia="楷体" w:hAnsi="楷体" w:cs="楷体" w:hint="eastAsia"/>
          <w:color w:val="auto"/>
          <w:sz w:val="32"/>
          <w:szCs w:val="32"/>
        </w:rPr>
        <w:t>（二）部门整体支出绩效自评表</w:t>
      </w:r>
    </w:p>
    <w:p>
      <w:pPr>
        <w:keepNext w:val="0"/>
        <w:keepLines w:val="0"/>
        <w:pageBreakBefore w:val="0"/>
        <w:widowControl/>
        <w:suppressLineNumbers w:val="0"/>
        <w:kinsoku/>
        <w:wordWrap/>
        <w:overflowPunct/>
        <w:topLinePunct/>
        <w:autoSpaceDE w:val="0"/>
        <w:autoSpaceDN w:val="0"/>
        <w:bidi w:val="0"/>
        <w:adjustRightInd/>
        <w:spacing w:beforeAutospacing="0" w:afterAutospacing="0" w:line="590" w:lineRule="exact"/>
        <w:ind w:left="0" w:right="0" w:firstLine="640" w:leftChars="0" w:rightChars="0" w:firstLineChars="200"/>
        <w:jc w:val="both"/>
        <w:textAlignment w:val="auto"/>
        <w:outlineLvl w:val="9"/>
        <w:rPr>
          <w:rFonts w:ascii="楷体" w:eastAsia="楷体" w:hAnsi="楷体" w:cs="楷体" w:hint="eastAsia"/>
          <w:color w:val="auto"/>
          <w:sz w:val="32"/>
          <w:szCs w:val="32"/>
        </w:rPr>
      </w:pPr>
      <w:r>
        <w:rPr>
          <w:rFonts w:ascii="楷体" w:eastAsia="楷体" w:hAnsi="楷体" w:cs="楷体" w:hint="eastAsia"/>
          <w:color w:val="auto"/>
          <w:sz w:val="32"/>
          <w:szCs w:val="32"/>
        </w:rPr>
        <w:t>（三）项目支出绩效自评表</w:t>
      </w:r>
    </w:p>
    <w:p>
      <w:pPr>
        <w:keepNext w:val="0"/>
        <w:keepLines w:val="0"/>
        <w:pageBreakBefore w:val="0"/>
        <w:widowControl/>
        <w:suppressLineNumbers w:val="0"/>
        <w:kinsoku/>
        <w:wordWrap/>
        <w:overflowPunct/>
        <w:topLinePunct/>
        <w:autoSpaceDE w:val="0"/>
        <w:autoSpaceDN w:val="0"/>
        <w:bidi w:val="0"/>
        <w:adjustRightInd/>
        <w:spacing w:beforeAutospacing="0" w:afterAutospacing="0" w:line="590" w:lineRule="exact"/>
        <w:ind w:left="0" w:right="0" w:firstLine="640" w:leftChars="0" w:rightChars="0" w:firstLineChars="200"/>
        <w:jc w:val="both"/>
        <w:textAlignment w:val="auto"/>
        <w:outlineLvl w:val="9"/>
        <w:rPr>
          <w:rFonts w:ascii="楷体" w:eastAsia="楷体" w:hAnsi="楷体" w:cs="楷体" w:hint="eastAsia"/>
          <w:color w:val="auto"/>
          <w:sz w:val="32"/>
          <w:szCs w:val="32"/>
        </w:rPr>
      </w:pPr>
      <w:r>
        <w:rPr>
          <w:rFonts w:ascii="楷体" w:eastAsia="楷体" w:hAnsi="楷体" w:cs="楷体" w:hint="eastAsia"/>
          <w:color w:val="auto"/>
          <w:sz w:val="32"/>
          <w:szCs w:val="32"/>
        </w:rPr>
        <w:t>五、其他重要事项情况说明 </w:t>
      </w:r>
    </w:p>
    <w:p>
      <w:pPr>
        <w:keepNext w:val="0"/>
        <w:keepLines w:val="0"/>
        <w:pageBreakBefore w:val="0"/>
        <w:widowControl/>
        <w:suppressLineNumbers w:val="0"/>
        <w:kinsoku/>
        <w:wordWrap/>
        <w:overflowPunct/>
        <w:topLinePunct/>
        <w:autoSpaceDE w:val="0"/>
        <w:autoSpaceDN w:val="0"/>
        <w:bidi w:val="0"/>
        <w:adjustRightInd/>
        <w:spacing w:beforeAutospacing="0" w:afterAutospacing="0" w:line="590" w:lineRule="exact"/>
        <w:ind w:left="0" w:right="0" w:firstLine="640" w:leftChars="0" w:rightChars="0" w:firstLineChars="200"/>
        <w:jc w:val="both"/>
        <w:textAlignment w:val="auto"/>
        <w:outlineLvl w:val="9"/>
        <w:rPr>
          <w:rFonts w:ascii="黑体" w:eastAsia="黑体" w:hAnsi="黑体" w:cs="黑体" w:hint="eastAsia"/>
          <w:color w:val="auto"/>
          <w:sz w:val="32"/>
          <w:szCs w:val="32"/>
        </w:rPr>
      </w:pPr>
      <w:r>
        <w:rPr>
          <w:rFonts w:ascii="黑体" w:eastAsia="黑体" w:hAnsi="黑体" w:cs="黑体" w:hint="eastAsia"/>
          <w:color w:val="auto"/>
          <w:sz w:val="32"/>
          <w:szCs w:val="32"/>
        </w:rPr>
        <w:t>第五部分</w:t>
      </w:r>
      <w:r>
        <w:rPr>
          <w:rFonts w:ascii="黑体" w:eastAsia="黑体" w:hAnsi="黑体" w:cs="黑体" w:hint="default"/>
          <w:color w:val="auto"/>
          <w:sz w:val="32"/>
          <w:szCs w:val="32"/>
        </w:rPr>
        <w:t xml:space="preserve">  </w:t>
      </w:r>
      <w:r>
        <w:rPr>
          <w:rFonts w:ascii="黑体" w:eastAsia="黑体" w:hAnsi="黑体" w:cs="黑体" w:hint="eastAsia"/>
          <w:color w:val="auto"/>
          <w:sz w:val="32"/>
          <w:szCs w:val="32"/>
        </w:rPr>
        <w:t>名词解释</w:t>
      </w:r>
    </w:p>
    <w:p>
      <w:pPr>
        <w:keepNext w:val="0"/>
        <w:keepLines w:val="0"/>
        <w:pageBreakBefore w:val="0"/>
        <w:widowControl/>
        <w:suppressLineNumbers w:val="0"/>
        <w:kinsoku/>
        <w:wordWrap/>
        <w:overflowPunct/>
        <w:topLinePunct/>
        <w:autoSpaceDE w:val="0"/>
        <w:autoSpaceDN w:val="0"/>
        <w:bidi w:val="0"/>
        <w:adjustRightInd/>
        <w:spacing w:beforeAutospacing="0" w:afterAutospacing="0" w:line="590" w:lineRule="exact"/>
        <w:ind w:left="0" w:right="0" w:firstLine="640" w:leftChars="0" w:rightChars="0" w:firstLineChars="200"/>
        <w:jc w:val="center"/>
        <w:textAlignment w:val="auto"/>
        <w:outlineLvl w:val="9"/>
        <w:rPr>
          <w:color w:val="auto"/>
        </w:rPr>
      </w:pPr>
      <w:r>
        <w:rPr>
          <w:rFonts w:ascii="Times New Roman" w:eastAsia="宋体" w:hAnsi="Times New Roman" w:cs="Times New Roman" w:hint="default"/>
          <w:color w:val="auto"/>
          <w:sz w:val="32"/>
          <w:szCs w:val="32"/>
        </w:rPr>
        <w:br w:type="page"/>
      </w:r>
      <w:r>
        <w:rPr>
          <w:rFonts w:ascii="黑体" w:eastAsia="黑体" w:hAnsi="黑体" w:cs="黑体" w:hint="eastAsia"/>
          <w:color w:val="auto"/>
          <w:sz w:val="36"/>
          <w:szCs w:val="36"/>
        </w:rPr>
        <w:t>第一部分  澄江市社会保险局概况</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黑体" w:eastAsia="黑体" w:hAnsi="黑体" w:cs="黑体" w:hint="eastAsia"/>
          <w:color w:val="auto"/>
          <w:sz w:val="32"/>
          <w:szCs w:val="32"/>
        </w:rPr>
      </w:pPr>
      <w:r>
        <w:rPr>
          <w:rFonts w:ascii="黑体" w:eastAsia="黑体" w:hAnsi="黑体" w:cs="黑体" w:hint="eastAsia"/>
          <w:color w:val="auto"/>
          <w:sz w:val="32"/>
          <w:szCs w:val="32"/>
        </w:rPr>
        <w:t>一、主要职能</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楷体" w:eastAsia="楷体" w:hAnsi="楷体" w:cs="楷体" w:hint="eastAsia"/>
          <w:color w:val="auto"/>
          <w:sz w:val="32"/>
          <w:szCs w:val="32"/>
        </w:rPr>
      </w:pPr>
      <w:r>
        <w:rPr>
          <w:rFonts w:ascii="楷体" w:eastAsia="楷体" w:hAnsi="楷体" w:cs="楷体" w:hint="eastAsia"/>
          <w:color w:val="auto"/>
          <w:sz w:val="32"/>
          <w:szCs w:val="32"/>
        </w:rPr>
        <w:t>（一）主要职能</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shd w:val="clear" w:color="auto" w:fill="FFFFFF"/>
          <w:lang w:val="en-US" w:eastAsia="zh-CN"/>
        </w:rPr>
        <w:t>负责管理和指导全县职工基本</w:t>
      </w:r>
      <w:r>
        <w:rPr>
          <w:rFonts w:ascii="仿宋" w:eastAsia="仿宋" w:hAnsi="仿宋" w:cs="仿宋" w:hint="eastAsia"/>
          <w:color w:val="auto"/>
          <w:sz w:val="32"/>
          <w:szCs w:val="32"/>
          <w:shd w:val="clear" w:color="auto" w:fill="FFFFFF"/>
          <w:lang w:val="en-US"/>
        </w:rPr>
        <w:t>养老、工伤、职业年金和城乡居民基本养老保险、被征地农民养老保障业务经办工作</w:t>
      </w:r>
      <w:r>
        <w:rPr>
          <w:rFonts w:ascii="仿宋" w:eastAsia="仿宋" w:hAnsi="仿宋" w:cs="仿宋" w:hint="eastAsia"/>
          <w:color w:val="auto"/>
          <w:sz w:val="32"/>
          <w:szCs w:val="32"/>
          <w:shd w:val="clear" w:color="auto" w:fill="FFFFFF"/>
          <w:lang w:val="en-US" w:eastAsia="zh-CN"/>
        </w:rPr>
        <w:t>；</w:t>
      </w:r>
      <w:r>
        <w:rPr>
          <w:rFonts w:ascii="仿宋" w:eastAsia="仿宋" w:hAnsi="仿宋" w:cs="仿宋" w:hint="eastAsia"/>
          <w:color w:val="auto"/>
          <w:sz w:val="32"/>
          <w:szCs w:val="32"/>
          <w:shd w:val="clear" w:color="auto" w:fill="FFFFFF"/>
          <w:lang w:val="en-US"/>
        </w:rPr>
        <w:t>负责做好全县职工基本养老保险基金、工伤保险基金和机关事业单位职业年金基金、城乡居民基本养老保险基金、被征地农民保障基金的各类统计等工作</w:t>
      </w:r>
      <w:r>
        <w:rPr>
          <w:rFonts w:ascii="仿宋" w:eastAsia="仿宋" w:hAnsi="仿宋" w:cs="仿宋" w:hint="eastAsia"/>
          <w:color w:val="auto"/>
          <w:sz w:val="32"/>
          <w:szCs w:val="32"/>
          <w:shd w:val="clear" w:color="auto" w:fill="FFFFFF"/>
          <w:lang w:val="en-US" w:eastAsia="zh-CN"/>
        </w:rPr>
        <w:t>；</w:t>
      </w:r>
      <w:r>
        <w:rPr>
          <w:rFonts w:ascii="仿宋" w:eastAsia="仿宋" w:hAnsi="仿宋" w:cs="仿宋" w:hint="eastAsia"/>
          <w:color w:val="auto"/>
          <w:sz w:val="32"/>
          <w:szCs w:val="32"/>
          <w:shd w:val="clear" w:color="auto" w:fill="FFFFFF"/>
          <w:lang w:val="en-US"/>
        </w:rPr>
        <w:t>负责社会保险稽核和政策执行、业务经办管理的督促检查工作</w:t>
      </w:r>
      <w:r>
        <w:rPr>
          <w:rFonts w:ascii="仿宋" w:eastAsia="仿宋" w:hAnsi="仿宋" w:cs="仿宋" w:hint="eastAsia"/>
          <w:color w:val="auto"/>
          <w:sz w:val="32"/>
          <w:szCs w:val="32"/>
          <w:shd w:val="clear" w:color="auto" w:fill="FFFFFF"/>
          <w:lang w:val="en-US" w:eastAsia="zh-CN"/>
        </w:rPr>
        <w:t>；</w:t>
      </w:r>
      <w:r>
        <w:rPr>
          <w:rFonts w:ascii="仿宋" w:eastAsia="仿宋" w:hAnsi="仿宋" w:cs="仿宋" w:hint="eastAsia"/>
          <w:color w:val="auto"/>
          <w:sz w:val="32"/>
          <w:szCs w:val="32"/>
          <w:shd w:val="clear" w:color="auto" w:fill="FFFFFF"/>
          <w:lang w:val="en-US"/>
        </w:rPr>
        <w:t>负责城乡居民基本养老保险待遇审核发放、资格认证、权益告知等工作</w:t>
      </w:r>
      <w:r>
        <w:rPr>
          <w:rFonts w:ascii="仿宋" w:eastAsia="仿宋" w:hAnsi="仿宋" w:cs="仿宋" w:hint="eastAsia"/>
          <w:color w:val="auto"/>
          <w:sz w:val="32"/>
          <w:szCs w:val="32"/>
          <w:shd w:val="clear" w:color="auto" w:fill="FFFFFF"/>
          <w:lang w:val="en-US" w:eastAsia="zh-CN"/>
        </w:rPr>
        <w:t>；</w:t>
      </w:r>
      <w:r>
        <w:rPr>
          <w:rFonts w:ascii="仿宋" w:eastAsia="仿宋" w:hAnsi="仿宋" w:cs="仿宋" w:hint="eastAsia"/>
          <w:color w:val="auto"/>
          <w:sz w:val="32"/>
          <w:szCs w:val="32"/>
          <w:shd w:val="clear" w:color="auto" w:fill="FFFFFF"/>
          <w:lang w:val="en-US"/>
        </w:rPr>
        <w:t>负责社会保险政策、业务等培训工作</w:t>
      </w:r>
      <w:r>
        <w:rPr>
          <w:rFonts w:ascii="仿宋" w:eastAsia="仿宋" w:hAnsi="仿宋" w:cs="仿宋" w:hint="eastAsia"/>
          <w:color w:val="auto"/>
          <w:sz w:val="32"/>
          <w:szCs w:val="32"/>
          <w:shd w:val="clear" w:color="auto" w:fill="FFFFFF"/>
          <w:lang w:val="en-US" w:eastAsia="zh-CN"/>
        </w:rPr>
        <w:t>；</w:t>
      </w:r>
      <w:r>
        <w:rPr>
          <w:rFonts w:ascii="仿宋" w:eastAsia="仿宋" w:hAnsi="仿宋" w:cs="仿宋" w:hint="eastAsia"/>
          <w:color w:val="auto"/>
          <w:sz w:val="32"/>
          <w:szCs w:val="32"/>
          <w:shd w:val="clear" w:color="auto" w:fill="FFFFFF"/>
          <w:lang w:val="en-US"/>
        </w:rPr>
        <w:t>负责职工基本养老、工伤保险和城乡居民基本养老保险及机关事业单位职业年金信息系统建设及数据维护工作</w:t>
      </w:r>
      <w:r>
        <w:rPr>
          <w:rFonts w:ascii="仿宋" w:eastAsia="仿宋" w:hAnsi="仿宋" w:cs="仿宋" w:hint="eastAsia"/>
          <w:color w:val="auto"/>
          <w:sz w:val="32"/>
          <w:szCs w:val="32"/>
          <w:shd w:val="clear" w:color="auto" w:fill="FFFFFF"/>
          <w:lang w:val="en-US" w:eastAsia="zh-CN"/>
        </w:rPr>
        <w:t>；</w:t>
      </w:r>
      <w:r>
        <w:rPr>
          <w:rFonts w:ascii="仿宋" w:eastAsia="仿宋" w:hAnsi="仿宋" w:cs="仿宋" w:hint="eastAsia"/>
          <w:color w:val="auto"/>
          <w:sz w:val="32"/>
          <w:szCs w:val="32"/>
          <w:shd w:val="clear" w:color="auto" w:fill="FFFFFF"/>
          <w:lang w:val="en-US"/>
        </w:rPr>
        <w:t>负责管理和指导社会保险业务档案的管理及应用</w:t>
      </w:r>
      <w:r>
        <w:rPr>
          <w:rFonts w:ascii="仿宋" w:eastAsia="仿宋" w:hAnsi="仿宋" w:cs="仿宋" w:hint="eastAsia"/>
          <w:color w:val="auto"/>
          <w:sz w:val="32"/>
          <w:szCs w:val="32"/>
          <w:shd w:val="clear" w:color="auto" w:fill="FFFFFF"/>
          <w:lang w:val="en-US" w:eastAsia="zh-CN"/>
        </w:rPr>
        <w:t>；</w:t>
      </w:r>
      <w:r>
        <w:rPr>
          <w:rFonts w:ascii="仿宋" w:eastAsia="仿宋" w:hAnsi="仿宋" w:cs="仿宋" w:hint="eastAsia"/>
          <w:color w:val="auto"/>
          <w:sz w:val="32"/>
          <w:szCs w:val="32"/>
          <w:shd w:val="clear" w:color="auto" w:fill="FFFFFF"/>
          <w:lang w:val="en-US"/>
        </w:rPr>
        <w:t>负责经办相关社会保险业务。</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楷体" w:eastAsia="楷体" w:hAnsi="楷体" w:cs="楷体" w:hint="eastAsia"/>
          <w:color w:val="auto"/>
          <w:sz w:val="32"/>
          <w:szCs w:val="32"/>
        </w:rPr>
      </w:pPr>
      <w:r>
        <w:rPr>
          <w:rFonts w:ascii="楷体" w:eastAsia="楷体" w:hAnsi="楷体" w:cs="楷体" w:hint="eastAsia"/>
          <w:color w:val="auto"/>
          <w:sz w:val="32"/>
          <w:szCs w:val="32"/>
        </w:rPr>
        <w:t>（二）2021年度重点工作任务介绍</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sz w:val="32"/>
          <w:szCs w:val="32"/>
        </w:rPr>
        <w:t>2021年，澄江市社会保险局工作在上级部门的大力支持和关心下</w:t>
      </w:r>
      <w:r>
        <w:rPr>
          <w:rFonts w:ascii="仿宋" w:eastAsia="仿宋" w:hAnsi="仿宋" w:cs="仿宋" w:hint="eastAsia"/>
          <w:color w:val="auto"/>
          <w:kern w:val="0"/>
          <w:sz w:val="32"/>
          <w:szCs w:val="32"/>
        </w:rPr>
        <w:t>，深入贯彻</w:t>
      </w:r>
      <w:r>
        <w:rPr>
          <w:rFonts w:ascii="仿宋" w:eastAsia="仿宋" w:hAnsi="仿宋" w:cs="仿宋" w:hint="eastAsia"/>
          <w:color w:val="auto"/>
          <w:kern w:val="0"/>
          <w:sz w:val="32"/>
          <w:szCs w:val="32"/>
          <w:lang w:eastAsia="zh-CN"/>
        </w:rPr>
        <w:t>落实</w:t>
      </w:r>
      <w:bookmarkStart w:id="0" w:name="_GoBack"/>
      <w:bookmarkEnd w:id="0"/>
      <w:r>
        <w:rPr>
          <w:rFonts w:ascii="仿宋" w:eastAsia="仿宋" w:hAnsi="仿宋" w:cs="仿宋" w:hint="eastAsia"/>
          <w:color w:val="auto"/>
          <w:kern w:val="0"/>
          <w:sz w:val="32"/>
          <w:szCs w:val="32"/>
        </w:rPr>
        <w:t>促进社会保障事业高质量可持续发展，认真贯彻省、市关于推进全民参保扩面专项行动、多领冒领截留套取养老金等社会保险待遇违法违规行为专项治理工作，按照“坚守底线、突出重点、完善制度、引导预期”的民生工作总体要求，进一步深化社会保险制度改革，确保各类人员社会保险待遇按时足额发放，有效防范和化解各类风险，不断提高社会保险经办管理水平和服务质量。</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参加城镇职工养老保险24</w:t>
      </w:r>
      <w:r>
        <w:rPr>
          <w:rFonts w:ascii="仿宋" w:eastAsia="仿宋" w:hAnsi="仿宋" w:cs="仿宋" w:hint="eastAsia"/>
          <w:color w:val="auto"/>
          <w:sz w:val="32"/>
          <w:szCs w:val="32"/>
          <w:lang w:val="en-US" w:eastAsia="zh-CN"/>
        </w:rPr>
        <w:t>,</w:t>
      </w:r>
      <w:r>
        <w:rPr>
          <w:rFonts w:ascii="仿宋" w:eastAsia="仿宋" w:hAnsi="仿宋" w:cs="仿宋" w:hint="eastAsia"/>
          <w:color w:val="auto"/>
          <w:sz w:val="32"/>
          <w:szCs w:val="32"/>
        </w:rPr>
        <w:t>809人，其中：企业职工养老保险参保15</w:t>
      </w:r>
      <w:r>
        <w:rPr>
          <w:rFonts w:ascii="仿宋" w:eastAsia="仿宋" w:hAnsi="仿宋" w:cs="仿宋" w:hint="eastAsia"/>
          <w:color w:val="auto"/>
          <w:sz w:val="32"/>
          <w:szCs w:val="32"/>
          <w:lang w:val="en-US" w:eastAsia="zh-CN"/>
        </w:rPr>
        <w:t>,</w:t>
      </w:r>
      <w:r>
        <w:rPr>
          <w:rFonts w:ascii="仿宋" w:eastAsia="仿宋" w:hAnsi="仿宋" w:cs="仿宋" w:hint="eastAsia"/>
          <w:color w:val="auto"/>
          <w:sz w:val="32"/>
          <w:szCs w:val="32"/>
        </w:rPr>
        <w:t>279人，退休2</w:t>
      </w:r>
      <w:r>
        <w:rPr>
          <w:rFonts w:ascii="仿宋" w:eastAsia="仿宋" w:hAnsi="仿宋" w:cs="仿宋" w:hint="eastAsia"/>
          <w:color w:val="auto"/>
          <w:sz w:val="32"/>
          <w:szCs w:val="32"/>
          <w:lang w:val="en-US" w:eastAsia="zh-CN"/>
        </w:rPr>
        <w:t>,</w:t>
      </w:r>
      <w:r>
        <w:rPr>
          <w:rFonts w:ascii="仿宋" w:eastAsia="仿宋" w:hAnsi="仿宋" w:cs="仿宋" w:hint="eastAsia"/>
          <w:color w:val="auto"/>
          <w:sz w:val="32"/>
          <w:szCs w:val="32"/>
        </w:rPr>
        <w:t>454人；机关养老保险4</w:t>
      </w:r>
      <w:r>
        <w:rPr>
          <w:rFonts w:ascii="仿宋" w:eastAsia="仿宋" w:hAnsi="仿宋" w:cs="仿宋" w:hint="eastAsia"/>
          <w:color w:val="auto"/>
          <w:sz w:val="32"/>
          <w:szCs w:val="32"/>
          <w:lang w:val="en-US" w:eastAsia="zh-CN"/>
        </w:rPr>
        <w:t>,</w:t>
      </w:r>
      <w:r>
        <w:rPr>
          <w:rFonts w:ascii="仿宋" w:eastAsia="仿宋" w:hAnsi="仿宋" w:cs="仿宋" w:hint="eastAsia"/>
          <w:color w:val="auto"/>
          <w:sz w:val="32"/>
          <w:szCs w:val="32"/>
        </w:rPr>
        <w:t>803人，离退休2</w:t>
      </w:r>
      <w:r>
        <w:rPr>
          <w:rFonts w:ascii="仿宋" w:eastAsia="仿宋" w:hAnsi="仿宋" w:cs="仿宋" w:hint="eastAsia"/>
          <w:color w:val="auto"/>
          <w:sz w:val="32"/>
          <w:szCs w:val="32"/>
          <w:lang w:val="en-US" w:eastAsia="zh-CN"/>
        </w:rPr>
        <w:t>,</w:t>
      </w:r>
      <w:r>
        <w:rPr>
          <w:rFonts w:ascii="仿宋" w:eastAsia="仿宋" w:hAnsi="仿宋" w:cs="仿宋" w:hint="eastAsia"/>
          <w:color w:val="auto"/>
          <w:sz w:val="32"/>
          <w:szCs w:val="32"/>
        </w:rPr>
        <w:t>273人，完成21</w:t>
      </w:r>
      <w:r>
        <w:rPr>
          <w:rFonts w:ascii="仿宋" w:eastAsia="仿宋" w:hAnsi="仿宋" w:cs="仿宋" w:hint="eastAsia"/>
          <w:color w:val="auto"/>
          <w:sz w:val="32"/>
          <w:szCs w:val="32"/>
          <w:lang w:val="en-US" w:eastAsia="zh-CN"/>
        </w:rPr>
        <w:t>,</w:t>
      </w:r>
      <w:r>
        <w:rPr>
          <w:rFonts w:ascii="仿宋" w:eastAsia="仿宋" w:hAnsi="仿宋" w:cs="仿宋" w:hint="eastAsia"/>
          <w:color w:val="auto"/>
          <w:sz w:val="32"/>
          <w:szCs w:val="32"/>
        </w:rPr>
        <w:t>800人目标任务数的113.8</w:t>
      </w:r>
      <w:r>
        <w:rPr>
          <w:rFonts w:ascii="仿宋" w:eastAsia="仿宋" w:hAnsi="仿宋" w:cs="仿宋" w:hint="eastAsia"/>
          <w:color w:val="auto"/>
          <w:sz w:val="32"/>
          <w:szCs w:val="32"/>
          <w:lang w:val="en-US" w:eastAsia="zh-CN"/>
        </w:rPr>
        <w:t>0</w:t>
      </w:r>
      <w:r>
        <w:rPr>
          <w:rFonts w:ascii="仿宋" w:eastAsia="仿宋" w:hAnsi="仿宋" w:cs="仿宋" w:hint="eastAsia"/>
          <w:color w:val="auto"/>
          <w:sz w:val="32"/>
          <w:szCs w:val="32"/>
        </w:rPr>
        <w:t>%。机关事业单位养老保险参保人数4</w:t>
      </w:r>
      <w:r>
        <w:rPr>
          <w:rFonts w:ascii="仿宋" w:eastAsia="仿宋" w:hAnsi="仿宋" w:cs="仿宋" w:hint="eastAsia"/>
          <w:color w:val="auto"/>
          <w:sz w:val="32"/>
          <w:szCs w:val="32"/>
          <w:lang w:val="en-US" w:eastAsia="zh-CN"/>
        </w:rPr>
        <w:t>,</w:t>
      </w:r>
      <w:r>
        <w:rPr>
          <w:rFonts w:ascii="仿宋" w:eastAsia="仿宋" w:hAnsi="仿宋" w:cs="仿宋" w:hint="eastAsia"/>
          <w:color w:val="auto"/>
          <w:sz w:val="32"/>
          <w:szCs w:val="32"/>
        </w:rPr>
        <w:t>803人</w:t>
      </w:r>
      <w:r>
        <w:rPr>
          <w:rFonts w:hint="eastAsia"/>
        </w:rPr>
        <w:t>，</w:t>
      </w:r>
      <w:r>
        <w:rPr>
          <w:rFonts w:ascii="仿宋" w:eastAsia="仿宋" w:hAnsi="仿宋" w:cs="仿宋" w:hint="eastAsia"/>
          <w:color w:val="auto"/>
          <w:sz w:val="32"/>
          <w:szCs w:val="32"/>
          <w:lang w:val="en-US" w:eastAsia="zh-CN"/>
        </w:rPr>
        <w:t>完成目标任务人数</w:t>
      </w:r>
      <w:r>
        <w:rPr>
          <w:rFonts w:ascii="仿宋" w:eastAsia="仿宋" w:hAnsi="仿宋" w:cs="仿宋" w:hint="eastAsia"/>
          <w:color w:val="auto"/>
          <w:sz w:val="32"/>
          <w:szCs w:val="32"/>
        </w:rPr>
        <w:t>4</w:t>
      </w:r>
      <w:r>
        <w:rPr>
          <w:rFonts w:ascii="仿宋" w:eastAsia="仿宋" w:hAnsi="仿宋" w:cs="仿宋" w:hint="eastAsia"/>
          <w:color w:val="auto"/>
          <w:sz w:val="32"/>
          <w:szCs w:val="32"/>
          <w:lang w:val="en-US" w:eastAsia="zh-CN"/>
        </w:rPr>
        <w:t>,</w:t>
      </w:r>
      <w:r>
        <w:rPr>
          <w:rFonts w:ascii="仿宋" w:eastAsia="仿宋" w:hAnsi="仿宋" w:cs="仿宋" w:hint="eastAsia"/>
          <w:color w:val="auto"/>
          <w:sz w:val="32"/>
          <w:szCs w:val="32"/>
        </w:rPr>
        <w:t>700人的102</w:t>
      </w:r>
      <w:r>
        <w:rPr>
          <w:rFonts w:ascii="仿宋" w:eastAsia="仿宋" w:hAnsi="仿宋" w:cs="仿宋" w:hint="eastAsia"/>
          <w:color w:val="auto"/>
          <w:sz w:val="32"/>
          <w:szCs w:val="32"/>
          <w:lang w:val="en-US" w:eastAsia="zh-CN"/>
        </w:rPr>
        <w:t>.</w:t>
      </w:r>
      <w:r>
        <w:rPr>
          <w:rFonts w:ascii="仿宋" w:eastAsia="仿宋" w:hAnsi="仿宋" w:cs="仿宋" w:hint="eastAsia"/>
          <w:color w:val="auto"/>
          <w:sz w:val="32"/>
          <w:szCs w:val="32"/>
        </w:rPr>
        <w:t>19%。企业职工养老保险参保人数15</w:t>
      </w:r>
      <w:r>
        <w:rPr>
          <w:rFonts w:ascii="仿宋" w:eastAsia="仿宋" w:hAnsi="仿宋" w:cs="仿宋" w:hint="eastAsia"/>
          <w:color w:val="auto"/>
          <w:sz w:val="32"/>
          <w:szCs w:val="32"/>
          <w:lang w:val="en-US" w:eastAsia="zh-CN"/>
        </w:rPr>
        <w:t>,</w:t>
      </w:r>
      <w:r>
        <w:rPr>
          <w:rFonts w:ascii="仿宋" w:eastAsia="仿宋" w:hAnsi="仿宋" w:cs="仿宋" w:hint="eastAsia"/>
          <w:color w:val="auto"/>
          <w:sz w:val="32"/>
          <w:szCs w:val="32"/>
        </w:rPr>
        <w:t>279人，完成目标任务人数12</w:t>
      </w:r>
      <w:r>
        <w:rPr>
          <w:rFonts w:ascii="仿宋" w:eastAsia="仿宋" w:hAnsi="仿宋" w:cs="仿宋" w:hint="eastAsia"/>
          <w:color w:val="auto"/>
          <w:sz w:val="32"/>
          <w:szCs w:val="32"/>
          <w:lang w:val="en-US" w:eastAsia="zh-CN"/>
        </w:rPr>
        <w:t>,</w:t>
      </w:r>
      <w:r>
        <w:rPr>
          <w:rFonts w:ascii="仿宋" w:eastAsia="仿宋" w:hAnsi="仿宋" w:cs="仿宋" w:hint="eastAsia"/>
          <w:color w:val="auto"/>
          <w:sz w:val="32"/>
          <w:szCs w:val="32"/>
        </w:rPr>
        <w:t>600人的121.26%</w:t>
      </w:r>
      <w:r>
        <w:rPr>
          <w:rFonts w:ascii="仿宋" w:eastAsia="仿宋" w:hAnsi="仿宋" w:cs="仿宋" w:hint="eastAsia"/>
          <w:color w:val="auto"/>
          <w:sz w:val="32"/>
          <w:szCs w:val="32"/>
          <w:lang w:eastAsia="zh-CN"/>
        </w:rPr>
        <w:t>。</w:t>
      </w:r>
      <w:r>
        <w:rPr>
          <w:rFonts w:ascii="仿宋" w:eastAsia="仿宋" w:hAnsi="仿宋" w:cs="仿宋" w:hint="eastAsia"/>
          <w:b w:val="0"/>
          <w:bCs w:val="0"/>
          <w:color w:val="auto"/>
          <w:sz w:val="32"/>
          <w:szCs w:val="32"/>
        </w:rPr>
        <w:t>工伤保险参保职工27</w:t>
      </w:r>
      <w:r>
        <w:rPr>
          <w:rFonts w:ascii="仿宋" w:eastAsia="仿宋" w:hAnsi="仿宋" w:cs="仿宋" w:hint="eastAsia"/>
          <w:b w:val="0"/>
          <w:bCs w:val="0"/>
          <w:color w:val="auto"/>
          <w:sz w:val="32"/>
          <w:szCs w:val="32"/>
          <w:lang w:val="en-US" w:eastAsia="zh-CN"/>
        </w:rPr>
        <w:t>,</w:t>
      </w:r>
      <w:r>
        <w:rPr>
          <w:rFonts w:ascii="仿宋" w:eastAsia="仿宋" w:hAnsi="仿宋" w:cs="仿宋" w:hint="eastAsia"/>
          <w:b w:val="0"/>
          <w:bCs w:val="0"/>
          <w:color w:val="auto"/>
          <w:sz w:val="32"/>
          <w:szCs w:val="32"/>
        </w:rPr>
        <w:t>074人（其中企业参保8</w:t>
      </w:r>
      <w:r>
        <w:rPr>
          <w:rFonts w:ascii="仿宋" w:eastAsia="仿宋" w:hAnsi="仿宋" w:cs="仿宋" w:hint="eastAsia"/>
          <w:b w:val="0"/>
          <w:bCs w:val="0"/>
          <w:color w:val="auto"/>
          <w:sz w:val="32"/>
          <w:szCs w:val="32"/>
          <w:lang w:val="en-US" w:eastAsia="zh-CN"/>
        </w:rPr>
        <w:t>,</w:t>
      </w:r>
      <w:r>
        <w:rPr>
          <w:rFonts w:ascii="仿宋" w:eastAsia="仿宋" w:hAnsi="仿宋" w:cs="仿宋" w:hint="eastAsia"/>
          <w:b w:val="0"/>
          <w:bCs w:val="0"/>
          <w:color w:val="auto"/>
          <w:sz w:val="32"/>
          <w:szCs w:val="32"/>
        </w:rPr>
        <w:t>678人，机关参保4</w:t>
      </w:r>
      <w:r>
        <w:rPr>
          <w:rFonts w:ascii="仿宋" w:eastAsia="仿宋" w:hAnsi="仿宋" w:cs="仿宋" w:hint="eastAsia"/>
          <w:b w:val="0"/>
          <w:bCs w:val="0"/>
          <w:color w:val="auto"/>
          <w:sz w:val="32"/>
          <w:szCs w:val="32"/>
          <w:lang w:val="en-US" w:eastAsia="zh-CN"/>
        </w:rPr>
        <w:t>,</w:t>
      </w:r>
      <w:r>
        <w:rPr>
          <w:rFonts w:ascii="仿宋" w:eastAsia="仿宋" w:hAnsi="仿宋" w:cs="仿宋" w:hint="eastAsia"/>
          <w:b w:val="0"/>
          <w:bCs w:val="0"/>
          <w:color w:val="auto"/>
          <w:sz w:val="32"/>
          <w:szCs w:val="32"/>
        </w:rPr>
        <w:t>990人，项目参保13</w:t>
      </w:r>
      <w:r>
        <w:rPr>
          <w:rFonts w:ascii="仿宋" w:eastAsia="仿宋" w:hAnsi="仿宋" w:cs="仿宋" w:hint="eastAsia"/>
          <w:b w:val="0"/>
          <w:bCs w:val="0"/>
          <w:color w:val="auto"/>
          <w:sz w:val="32"/>
          <w:szCs w:val="32"/>
          <w:lang w:val="en-US" w:eastAsia="zh-CN"/>
        </w:rPr>
        <w:t>,</w:t>
      </w:r>
      <w:r>
        <w:rPr>
          <w:rFonts w:ascii="仿宋" w:eastAsia="仿宋" w:hAnsi="仿宋" w:cs="仿宋" w:hint="eastAsia"/>
          <w:b w:val="0"/>
          <w:bCs w:val="0"/>
          <w:color w:val="auto"/>
          <w:sz w:val="32"/>
          <w:szCs w:val="32"/>
        </w:rPr>
        <w:t>406人），完成目标任务人数23</w:t>
      </w:r>
      <w:r>
        <w:rPr>
          <w:rFonts w:ascii="仿宋" w:eastAsia="仿宋" w:hAnsi="仿宋" w:cs="仿宋" w:hint="eastAsia"/>
          <w:b w:val="0"/>
          <w:bCs w:val="0"/>
          <w:color w:val="auto"/>
          <w:sz w:val="32"/>
          <w:szCs w:val="32"/>
          <w:lang w:val="en-US" w:eastAsia="zh-CN"/>
        </w:rPr>
        <w:t>,</w:t>
      </w:r>
      <w:r>
        <w:rPr>
          <w:rFonts w:ascii="仿宋" w:eastAsia="仿宋" w:hAnsi="仿宋" w:cs="仿宋" w:hint="eastAsia"/>
          <w:b w:val="0"/>
          <w:bCs w:val="0"/>
          <w:color w:val="auto"/>
          <w:sz w:val="32"/>
          <w:szCs w:val="32"/>
        </w:rPr>
        <w:t>500的115.21%。</w:t>
      </w:r>
      <w:r>
        <w:rPr>
          <w:rFonts w:ascii="仿宋" w:eastAsia="仿宋" w:hAnsi="仿宋" w:cs="仿宋" w:hint="eastAsia"/>
          <w:color w:val="auto"/>
          <w:sz w:val="32"/>
          <w:szCs w:val="32"/>
        </w:rPr>
        <w:t>城乡居民养老保险参保总人数105</w:t>
      </w:r>
      <w:r>
        <w:rPr>
          <w:rFonts w:ascii="仿宋" w:eastAsia="仿宋" w:hAnsi="仿宋" w:cs="仿宋" w:hint="eastAsia"/>
          <w:color w:val="auto"/>
          <w:sz w:val="32"/>
          <w:szCs w:val="32"/>
          <w:lang w:val="en-US" w:eastAsia="zh-CN"/>
        </w:rPr>
        <w:t>,</w:t>
      </w:r>
      <w:r>
        <w:rPr>
          <w:rFonts w:ascii="仿宋" w:eastAsia="仿宋" w:hAnsi="仿宋" w:cs="仿宋" w:hint="eastAsia"/>
          <w:color w:val="auto"/>
          <w:sz w:val="32"/>
          <w:szCs w:val="32"/>
        </w:rPr>
        <w:t>500人，完成目标任务人数105</w:t>
      </w:r>
      <w:r>
        <w:rPr>
          <w:rFonts w:ascii="仿宋" w:eastAsia="仿宋" w:hAnsi="仿宋" w:cs="仿宋" w:hint="eastAsia"/>
          <w:color w:val="auto"/>
          <w:sz w:val="32"/>
          <w:szCs w:val="32"/>
          <w:lang w:val="en-US" w:eastAsia="zh-CN"/>
        </w:rPr>
        <w:t>,</w:t>
      </w:r>
      <w:r>
        <w:rPr>
          <w:rFonts w:ascii="仿宋" w:eastAsia="仿宋" w:hAnsi="仿宋" w:cs="仿宋" w:hint="eastAsia"/>
          <w:color w:val="auto"/>
          <w:sz w:val="32"/>
          <w:szCs w:val="32"/>
        </w:rPr>
        <w:t>500人的100</w:t>
      </w:r>
      <w:r>
        <w:rPr>
          <w:rFonts w:ascii="仿宋" w:eastAsia="仿宋" w:hAnsi="仿宋" w:cs="仿宋" w:hint="eastAsia"/>
          <w:color w:val="auto"/>
          <w:sz w:val="32"/>
          <w:szCs w:val="32"/>
          <w:lang w:val="en-US" w:eastAsia="zh-CN"/>
        </w:rPr>
        <w:t>.00</w:t>
      </w:r>
      <w:r>
        <w:rPr>
          <w:rFonts w:ascii="仿宋" w:eastAsia="仿宋" w:hAnsi="仿宋" w:cs="仿宋" w:hint="eastAsia"/>
          <w:color w:val="auto"/>
          <w:sz w:val="32"/>
          <w:szCs w:val="32"/>
        </w:rPr>
        <w:t>%。</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sz w:val="32"/>
          <w:szCs w:val="32"/>
        </w:rPr>
        <w:t>圆满完成专项治理工作</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rPr>
        <w:t>加大领取养老保险待遇资格确认工作</w:t>
      </w:r>
      <w:r>
        <w:rPr>
          <w:rFonts w:ascii="仿宋" w:eastAsia="仿宋" w:hAnsi="仿宋" w:cs="仿宋" w:hint="eastAsia"/>
          <w:color w:val="auto"/>
          <w:sz w:val="32"/>
          <w:szCs w:val="32"/>
          <w:lang w:eastAsia="zh-CN"/>
        </w:rPr>
        <w:t>、</w:t>
      </w:r>
      <w:r>
        <w:rPr>
          <w:rFonts w:ascii="仿宋" w:eastAsia="仿宋" w:hAnsi="仿宋" w:cs="仿宋" w:hint="eastAsia"/>
          <w:color w:val="auto"/>
          <w:kern w:val="0"/>
          <w:sz w:val="32"/>
          <w:szCs w:val="32"/>
        </w:rPr>
        <w:t>扎实开展社会保险实地稽核工作</w:t>
      </w:r>
      <w:r>
        <w:rPr>
          <w:rFonts w:ascii="仿宋" w:eastAsia="仿宋" w:hAnsi="仿宋" w:cs="仿宋" w:hint="eastAsia"/>
          <w:color w:val="auto"/>
          <w:kern w:val="0"/>
          <w:sz w:val="32"/>
          <w:szCs w:val="32"/>
          <w:lang w:eastAsia="zh-CN"/>
        </w:rPr>
        <w:t>、</w:t>
      </w:r>
      <w:r>
        <w:rPr>
          <w:rFonts w:ascii="仿宋" w:eastAsia="仿宋" w:hAnsi="仿宋" w:cs="仿宋" w:hint="eastAsia"/>
          <w:b w:val="0"/>
          <w:bCs w:val="0"/>
          <w:color w:val="auto"/>
          <w:sz w:val="32"/>
          <w:szCs w:val="32"/>
        </w:rPr>
        <w:t>全面开展社会保险全民参保扩面专项行动</w:t>
      </w:r>
      <w:r>
        <w:rPr>
          <w:rFonts w:ascii="仿宋" w:eastAsia="仿宋" w:hAnsi="仿宋" w:cs="仿宋" w:hint="eastAsia"/>
          <w:b w:val="0"/>
          <w:bCs w:val="0"/>
          <w:color w:val="auto"/>
          <w:sz w:val="32"/>
          <w:szCs w:val="32"/>
          <w:lang w:eastAsia="zh-CN"/>
        </w:rPr>
        <w:t>、</w:t>
      </w:r>
      <w:r>
        <w:rPr>
          <w:rFonts w:ascii="仿宋" w:eastAsia="仿宋" w:hAnsi="仿宋" w:cs="仿宋" w:hint="eastAsia"/>
          <w:color w:val="auto"/>
          <w:sz w:val="32"/>
          <w:szCs w:val="32"/>
        </w:rPr>
        <w:t>关注尘肺病重点企业调查工作</w:t>
      </w:r>
      <w:r>
        <w:rPr>
          <w:rFonts w:ascii="仿宋" w:eastAsia="仿宋" w:hAnsi="仿宋" w:cs="仿宋" w:hint="eastAsia"/>
          <w:color w:val="auto"/>
          <w:sz w:val="32"/>
          <w:szCs w:val="32"/>
          <w:lang w:eastAsia="zh-CN"/>
        </w:rPr>
        <w:t>。</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黑体" w:eastAsia="黑体" w:hAnsi="黑体" w:cs="黑体" w:hint="eastAsia"/>
          <w:color w:val="auto"/>
          <w:sz w:val="32"/>
          <w:szCs w:val="32"/>
        </w:rPr>
      </w:pPr>
      <w:r>
        <w:rPr>
          <w:rFonts w:ascii="黑体" w:eastAsia="黑体" w:hAnsi="黑体" w:cs="黑体" w:hint="eastAsia"/>
          <w:color w:val="auto"/>
          <w:sz w:val="32"/>
          <w:szCs w:val="32"/>
        </w:rPr>
        <w:t>二、部门基本情况</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楷体" w:eastAsia="楷体" w:hAnsi="楷体" w:cs="楷体" w:hint="eastAsia"/>
          <w:color w:val="auto"/>
          <w:sz w:val="32"/>
          <w:szCs w:val="32"/>
        </w:rPr>
      </w:pPr>
      <w:r>
        <w:rPr>
          <w:rFonts w:ascii="楷体" w:eastAsia="楷体" w:hAnsi="楷体" w:cs="楷体" w:hint="eastAsia"/>
          <w:color w:val="auto"/>
          <w:sz w:val="32"/>
          <w:szCs w:val="32"/>
        </w:rPr>
        <w:t>（一）部门决算单位构成</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lang w:val="en-US" w:eastAsia="zh-CN"/>
        </w:rPr>
      </w:pPr>
      <w:r>
        <w:rPr>
          <w:rFonts w:ascii="仿宋" w:eastAsia="仿宋" w:hAnsi="仿宋" w:cs="仿宋" w:hint="eastAsia"/>
          <w:color w:val="auto"/>
          <w:sz w:val="32"/>
          <w:szCs w:val="32"/>
        </w:rPr>
        <w:t>纳入澄江市社会保险局2021年度部门决算编报的单位共1个。其中：行政单位</w:t>
      </w:r>
      <w:r>
        <w:rPr>
          <w:rFonts w:ascii="仿宋" w:eastAsia="仿宋" w:hAnsi="仿宋" w:cs="仿宋" w:hint="eastAsia"/>
          <w:color w:val="auto"/>
          <w:sz w:val="32"/>
          <w:szCs w:val="32"/>
          <w:lang w:val="en-US" w:eastAsia="zh-CN"/>
        </w:rPr>
        <w:t>0</w:t>
      </w:r>
      <w:r>
        <w:rPr>
          <w:rFonts w:ascii="仿宋" w:eastAsia="仿宋" w:hAnsi="仿宋" w:cs="仿宋" w:hint="eastAsia"/>
          <w:color w:val="auto"/>
          <w:sz w:val="32"/>
          <w:szCs w:val="32"/>
        </w:rPr>
        <w:t>个，参照公务员法管理的事业单位</w:t>
      </w:r>
      <w:r>
        <w:rPr>
          <w:rFonts w:ascii="仿宋" w:eastAsia="仿宋" w:hAnsi="仿宋" w:cs="仿宋" w:hint="eastAsia"/>
          <w:color w:val="auto"/>
          <w:sz w:val="32"/>
          <w:szCs w:val="32"/>
          <w:lang w:val="en-US" w:eastAsia="zh-CN"/>
        </w:rPr>
        <w:t>1</w:t>
      </w:r>
      <w:r>
        <w:rPr>
          <w:rFonts w:ascii="仿宋" w:eastAsia="仿宋" w:hAnsi="仿宋" w:cs="仿宋" w:hint="eastAsia"/>
          <w:color w:val="auto"/>
          <w:sz w:val="32"/>
          <w:szCs w:val="32"/>
        </w:rPr>
        <w:t>个，其他事业单位</w:t>
      </w:r>
      <w:r>
        <w:rPr>
          <w:rFonts w:ascii="仿宋" w:eastAsia="仿宋" w:hAnsi="仿宋" w:cs="仿宋" w:hint="eastAsia"/>
          <w:color w:val="auto"/>
          <w:sz w:val="32"/>
          <w:szCs w:val="32"/>
          <w:lang w:val="en-US" w:eastAsia="zh-CN"/>
        </w:rPr>
        <w:t>0</w:t>
      </w:r>
      <w:r>
        <w:rPr>
          <w:rFonts w:ascii="仿宋" w:eastAsia="仿宋" w:hAnsi="仿宋" w:cs="仿宋" w:hint="eastAsia"/>
          <w:color w:val="auto"/>
          <w:sz w:val="32"/>
          <w:szCs w:val="32"/>
        </w:rPr>
        <w:t>个。</w:t>
      </w:r>
      <w:r>
        <w:rPr>
          <w:rFonts w:ascii="仿宋" w:eastAsia="仿宋" w:hAnsi="仿宋" w:cs="仿宋" w:hint="eastAsia"/>
          <w:color w:val="auto"/>
          <w:sz w:val="32"/>
          <w:szCs w:val="32"/>
          <w:lang w:val="en-US" w:eastAsia="zh-CN"/>
        </w:rPr>
        <w:t>分别是：</w:t>
      </w:r>
      <w:r>
        <w:rPr>
          <w:rFonts w:ascii="仿宋" w:eastAsia="仿宋" w:hAnsi="仿宋" w:cs="仿宋" w:hint="eastAsia"/>
          <w:color w:val="auto"/>
          <w:sz w:val="32"/>
          <w:szCs w:val="32"/>
        </w:rPr>
        <w:t>澄江市社会保险局</w:t>
      </w:r>
      <w:r>
        <w:rPr>
          <w:rFonts w:ascii="仿宋" w:eastAsia="仿宋" w:hAnsi="仿宋" w:cs="仿宋" w:hint="eastAsia"/>
          <w:color w:val="auto"/>
          <w:sz w:val="32"/>
          <w:szCs w:val="32"/>
          <w:lang w:eastAsia="zh-CN"/>
        </w:rPr>
        <w:t>。</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楷体" w:eastAsia="楷体" w:hAnsi="楷体" w:cs="楷体" w:hint="eastAsia"/>
          <w:color w:val="auto"/>
          <w:sz w:val="32"/>
          <w:szCs w:val="32"/>
        </w:rPr>
      </w:pPr>
      <w:r>
        <w:rPr>
          <w:rFonts w:ascii="楷体" w:eastAsia="楷体" w:hAnsi="楷体" w:cs="楷体" w:hint="eastAsia"/>
          <w:color w:val="auto"/>
          <w:sz w:val="32"/>
          <w:szCs w:val="32"/>
        </w:rPr>
        <w:t>（二）部门人员和车辆的编制及实有情况</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澄江市社会保险局2021年末实有人员编制</w:t>
      </w:r>
      <w:r>
        <w:rPr>
          <w:rFonts w:ascii="仿宋" w:eastAsia="仿宋" w:hAnsi="仿宋" w:cs="仿宋" w:hint="eastAsia"/>
          <w:color w:val="auto"/>
          <w:sz w:val="32"/>
          <w:szCs w:val="32"/>
          <w:lang w:val="en-US" w:eastAsia="zh-CN"/>
        </w:rPr>
        <w:t>22</w:t>
      </w:r>
      <w:r>
        <w:rPr>
          <w:rFonts w:ascii="仿宋" w:eastAsia="仿宋" w:hAnsi="仿宋" w:cs="仿宋" w:hint="eastAsia"/>
          <w:color w:val="auto"/>
          <w:sz w:val="32"/>
          <w:szCs w:val="32"/>
        </w:rPr>
        <w:t>人。其中：行政编制</w:t>
      </w:r>
      <w:r>
        <w:rPr>
          <w:rFonts w:ascii="仿宋" w:eastAsia="仿宋" w:hAnsi="仿宋" w:cs="仿宋" w:hint="eastAsia"/>
          <w:color w:val="auto"/>
          <w:sz w:val="32"/>
          <w:szCs w:val="32"/>
          <w:lang w:val="en-US" w:eastAsia="zh-CN"/>
        </w:rPr>
        <w:t>0</w:t>
      </w:r>
      <w:r>
        <w:rPr>
          <w:rFonts w:ascii="仿宋" w:eastAsia="仿宋" w:hAnsi="仿宋" w:cs="仿宋" w:hint="eastAsia"/>
          <w:color w:val="auto"/>
          <w:sz w:val="32"/>
          <w:szCs w:val="32"/>
        </w:rPr>
        <w:t>人（含行政工勤编制</w:t>
      </w:r>
      <w:r>
        <w:rPr>
          <w:rFonts w:ascii="仿宋" w:eastAsia="仿宋" w:hAnsi="仿宋" w:cs="仿宋" w:hint="eastAsia"/>
          <w:color w:val="auto"/>
          <w:sz w:val="32"/>
          <w:szCs w:val="32"/>
          <w:lang w:val="en-US" w:eastAsia="zh-CN"/>
        </w:rPr>
        <w:t>0</w:t>
      </w:r>
      <w:r>
        <w:rPr>
          <w:rFonts w:ascii="仿宋" w:eastAsia="仿宋" w:hAnsi="仿宋" w:cs="仿宋" w:hint="eastAsia"/>
          <w:color w:val="auto"/>
          <w:sz w:val="32"/>
          <w:szCs w:val="32"/>
        </w:rPr>
        <w:t>人），事业编制</w:t>
      </w:r>
      <w:r>
        <w:rPr>
          <w:rFonts w:ascii="仿宋" w:eastAsia="仿宋" w:hAnsi="仿宋" w:cs="仿宋" w:hint="eastAsia"/>
          <w:color w:val="auto"/>
          <w:sz w:val="32"/>
          <w:szCs w:val="32"/>
          <w:lang w:val="en-US" w:eastAsia="zh-CN"/>
        </w:rPr>
        <w:t>22</w:t>
      </w:r>
      <w:r>
        <w:rPr>
          <w:rFonts w:ascii="仿宋" w:eastAsia="仿宋" w:hAnsi="仿宋" w:cs="仿宋" w:hint="eastAsia"/>
          <w:color w:val="auto"/>
          <w:sz w:val="32"/>
          <w:szCs w:val="32"/>
        </w:rPr>
        <w:t>人（含参公管理事业编制</w:t>
      </w:r>
      <w:r>
        <w:rPr>
          <w:rFonts w:ascii="仿宋" w:eastAsia="仿宋" w:hAnsi="仿宋" w:cs="仿宋" w:hint="eastAsia"/>
          <w:color w:val="auto"/>
          <w:sz w:val="32"/>
          <w:szCs w:val="32"/>
          <w:lang w:val="en-US" w:eastAsia="zh-CN"/>
        </w:rPr>
        <w:t>22</w:t>
      </w:r>
      <w:r>
        <w:rPr>
          <w:rFonts w:ascii="仿宋" w:eastAsia="仿宋" w:hAnsi="仿宋" w:cs="仿宋" w:hint="eastAsia"/>
          <w:color w:val="auto"/>
          <w:sz w:val="32"/>
          <w:szCs w:val="32"/>
        </w:rPr>
        <w:t>人）；在职在编实有行政人员0人（含行政工勤人员</w:t>
      </w:r>
      <w:r>
        <w:rPr>
          <w:rFonts w:ascii="仿宋" w:eastAsia="仿宋" w:hAnsi="仿宋" w:cs="仿宋" w:hint="eastAsia"/>
          <w:color w:val="auto"/>
          <w:sz w:val="32"/>
          <w:szCs w:val="32"/>
          <w:lang w:val="en-US" w:eastAsia="zh-CN"/>
        </w:rPr>
        <w:t>0</w:t>
      </w:r>
      <w:r>
        <w:rPr>
          <w:rFonts w:ascii="仿宋" w:eastAsia="仿宋" w:hAnsi="仿宋" w:cs="仿宋" w:hint="eastAsia"/>
          <w:color w:val="auto"/>
          <w:sz w:val="32"/>
          <w:szCs w:val="32"/>
        </w:rPr>
        <w:t>人），事业人员22人（含参公管理事业人员22人）。</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离退休人员</w:t>
      </w:r>
      <w:r>
        <w:rPr>
          <w:rFonts w:ascii="仿宋" w:eastAsia="仿宋" w:hAnsi="仿宋" w:cs="仿宋" w:hint="eastAsia"/>
          <w:color w:val="auto"/>
          <w:sz w:val="32"/>
          <w:szCs w:val="32"/>
          <w:lang w:val="en-US" w:eastAsia="zh-CN"/>
        </w:rPr>
        <w:t>7</w:t>
      </w:r>
      <w:r>
        <w:rPr>
          <w:rFonts w:ascii="仿宋" w:eastAsia="仿宋" w:hAnsi="仿宋" w:cs="仿宋" w:hint="eastAsia"/>
          <w:color w:val="auto"/>
          <w:sz w:val="32"/>
          <w:szCs w:val="32"/>
        </w:rPr>
        <w:t>人。其中：离休0人，退休</w:t>
      </w:r>
      <w:r>
        <w:rPr>
          <w:rFonts w:ascii="仿宋" w:eastAsia="仿宋" w:hAnsi="仿宋" w:cs="仿宋" w:hint="eastAsia"/>
          <w:color w:val="auto"/>
          <w:sz w:val="32"/>
          <w:szCs w:val="32"/>
          <w:lang w:val="en-US" w:eastAsia="zh-CN"/>
        </w:rPr>
        <w:t>7</w:t>
      </w:r>
      <w:r>
        <w:rPr>
          <w:rFonts w:ascii="仿宋" w:eastAsia="仿宋" w:hAnsi="仿宋" w:cs="仿宋" w:hint="eastAsia"/>
          <w:color w:val="auto"/>
          <w:sz w:val="32"/>
          <w:szCs w:val="32"/>
        </w:rPr>
        <w:t>人。</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实有车辆编制</w:t>
      </w:r>
      <w:r>
        <w:rPr>
          <w:rFonts w:ascii="仿宋" w:eastAsia="仿宋" w:hAnsi="仿宋" w:cs="仿宋" w:hint="eastAsia"/>
          <w:color w:val="auto"/>
          <w:sz w:val="32"/>
          <w:szCs w:val="32"/>
          <w:lang w:val="en-US" w:eastAsia="zh-CN"/>
        </w:rPr>
        <w:t>0</w:t>
      </w:r>
      <w:r>
        <w:rPr>
          <w:rFonts w:ascii="仿宋" w:eastAsia="仿宋" w:hAnsi="仿宋" w:cs="仿宋" w:hint="eastAsia"/>
          <w:color w:val="auto"/>
          <w:sz w:val="32"/>
          <w:szCs w:val="32"/>
        </w:rPr>
        <w:t>辆，在编实有车辆0辆。</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720" w:leftChars="0" w:rightChars="0" w:firstLineChars="200"/>
        <w:jc w:val="center"/>
        <w:textAlignment w:val="auto"/>
        <w:outlineLvl w:val="9"/>
        <w:rPr>
          <w:rFonts w:ascii="黑体" w:eastAsia="黑体" w:hAnsi="黑体" w:cs="黑体" w:hint="eastAsia"/>
          <w:color w:val="auto"/>
          <w:sz w:val="36"/>
          <w:szCs w:val="36"/>
        </w:rPr>
      </w:pPr>
      <w:r>
        <w:rPr>
          <w:rFonts w:ascii="黑体" w:eastAsia="黑体" w:hAnsi="黑体" w:cs="黑体" w:hint="eastAsia"/>
          <w:color w:val="auto"/>
          <w:sz w:val="36"/>
          <w:szCs w:val="36"/>
        </w:rPr>
        <w:t>第二部分  2021年度部门决算表</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center"/>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（详见附件）</w:t>
      </w:r>
    </w:p>
    <w:p>
      <w:pPr>
        <w:pStyle w:val="NormalIndent"/>
        <w:keepNext w:val="0"/>
        <w:keepLines w:val="0"/>
        <w:pageBreakBefore w:val="0"/>
        <w:widowControl/>
        <w:kinsoku/>
        <w:wordWrap/>
        <w:overflowPunct/>
        <w:topLinePunct w:val="0"/>
        <w:autoSpaceDE/>
        <w:autoSpaceDN/>
        <w:bidi w:val="0"/>
        <w:adjustRightInd/>
        <w:snapToGrid w:val="0"/>
        <w:spacing w:before="0" w:after="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kern w:val="0"/>
          <w:sz w:val="32"/>
          <w:szCs w:val="32"/>
          <w:lang w:val="en-US" w:eastAsia="zh-CN" w:bidi="ar"/>
        </w:rPr>
        <w:t>澄江市社会保险局2021年度没有政府性基金预算财政拨款收入，也没有使用政府性基金预算财政拨款安排的支出，故《政府性基金预算财政拨款收入支出决算表》无数据。</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720" w:leftChars="0" w:rightChars="0" w:firstLineChars="200"/>
        <w:jc w:val="center"/>
        <w:textAlignment w:val="auto"/>
        <w:outlineLvl w:val="9"/>
        <w:rPr>
          <w:rFonts w:ascii="黑体" w:eastAsia="黑体" w:hAnsi="黑体" w:cs="黑体" w:hint="eastAsia"/>
          <w:color w:val="auto"/>
          <w:sz w:val="36"/>
          <w:szCs w:val="36"/>
        </w:rPr>
      </w:pPr>
      <w:r>
        <w:rPr>
          <w:rFonts w:ascii="黑体" w:eastAsia="黑体" w:hAnsi="黑体" w:cs="黑体" w:hint="eastAsia"/>
          <w:color w:val="auto"/>
          <w:sz w:val="36"/>
          <w:szCs w:val="36"/>
        </w:rPr>
        <w:t>第三部分  2021年度部门决算情况说明</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黑体" w:eastAsia="黑体" w:hAnsi="黑体" w:cs="黑体" w:hint="eastAsia"/>
          <w:color w:val="auto"/>
          <w:sz w:val="32"/>
          <w:szCs w:val="32"/>
        </w:rPr>
      </w:pPr>
      <w:r>
        <w:rPr>
          <w:rFonts w:ascii="黑体" w:eastAsia="黑体" w:hAnsi="黑体" w:cs="黑体" w:hint="eastAsia"/>
          <w:color w:val="auto"/>
          <w:sz w:val="32"/>
          <w:szCs w:val="32"/>
        </w:rPr>
        <w:t>一、收入决算情况说明</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澄江市社会保险局2021年度收入合计573.63万元。其中：财政拨款收入573.63万元，占总收入的100.00%；上级补助收入0.00万元，占总收入的0.00%；事业收入0.00万元（含教育收费0.00万元），占总收入的0.00%；经营收入0.00万元，占总收入的0.00%；附属单位缴款收入0.00万元，占总收入的0.00%；其他收入0.00万元，占总收入的0.00%。</w:t>
      </w:r>
      <w:r>
        <w:rPr>
          <w:rFonts w:ascii="仿宋" w:eastAsia="仿宋" w:hAnsi="仿宋" w:cs="仿宋" w:hint="eastAsia"/>
          <w:color w:val="auto"/>
          <w:kern w:val="0"/>
          <w:sz w:val="32"/>
          <w:szCs w:val="32"/>
        </w:rPr>
        <w:t>与上年对比,本年收入</w:t>
      </w:r>
      <w:r>
        <w:rPr>
          <w:rFonts w:ascii="仿宋" w:eastAsia="仿宋" w:hAnsi="仿宋" w:cs="仿宋" w:hint="eastAsia"/>
          <w:color w:val="auto"/>
          <w:kern w:val="0"/>
          <w:sz w:val="32"/>
          <w:szCs w:val="32"/>
          <w:lang w:eastAsia="zh-CN"/>
        </w:rPr>
        <w:t>减少</w:t>
      </w:r>
      <w:r>
        <w:rPr>
          <w:rFonts w:ascii="仿宋" w:eastAsia="仿宋" w:hAnsi="仿宋" w:cs="仿宋" w:hint="eastAsia"/>
          <w:color w:val="auto"/>
          <w:kern w:val="0"/>
          <w:sz w:val="32"/>
          <w:szCs w:val="32"/>
          <w:lang w:val="en-US" w:eastAsia="zh-CN"/>
        </w:rPr>
        <w:t>46.06</w:t>
      </w:r>
      <w:r>
        <w:rPr>
          <w:rFonts w:ascii="仿宋" w:eastAsia="仿宋" w:hAnsi="仿宋" w:cs="仿宋" w:hint="eastAsia"/>
          <w:color w:val="auto"/>
          <w:kern w:val="0"/>
          <w:sz w:val="32"/>
          <w:szCs w:val="32"/>
        </w:rPr>
        <w:t>万元，</w:t>
      </w:r>
      <w:r>
        <w:rPr>
          <w:rFonts w:ascii="仿宋" w:eastAsia="仿宋" w:hAnsi="仿宋" w:cs="仿宋" w:hint="eastAsia"/>
          <w:color w:val="auto"/>
          <w:kern w:val="0"/>
          <w:sz w:val="32"/>
          <w:szCs w:val="32"/>
          <w:lang w:eastAsia="zh-CN"/>
        </w:rPr>
        <w:t>下降</w:t>
      </w:r>
      <w:r>
        <w:rPr>
          <w:rFonts w:ascii="仿宋" w:eastAsia="仿宋" w:hAnsi="仿宋" w:cs="仿宋" w:hint="eastAsia"/>
          <w:color w:val="auto"/>
          <w:kern w:val="0"/>
          <w:sz w:val="32"/>
          <w:szCs w:val="32"/>
          <w:lang w:val="en-US" w:eastAsia="zh-CN"/>
        </w:rPr>
        <w:t>7.43</w:t>
      </w:r>
      <w:r>
        <w:rPr>
          <w:rFonts w:ascii="仿宋" w:eastAsia="仿宋" w:hAnsi="仿宋" w:cs="仿宋" w:hint="eastAsia"/>
          <w:color w:val="auto"/>
          <w:kern w:val="0"/>
          <w:sz w:val="32"/>
          <w:szCs w:val="32"/>
        </w:rPr>
        <w:t>%，主要原因是</w:t>
      </w:r>
      <w:r>
        <w:rPr>
          <w:rFonts w:ascii="仿宋" w:eastAsia="仿宋" w:hAnsi="仿宋" w:cs="仿宋" w:hint="eastAsia"/>
          <w:color w:val="auto"/>
          <w:kern w:val="0"/>
          <w:sz w:val="32"/>
          <w:szCs w:val="32"/>
          <w:lang w:val="en-US" w:eastAsia="zh-CN"/>
        </w:rPr>
        <w:t>2021年项目数减少，社保基金补助类项目均在财政局社保股留存，因此本年收入减少</w:t>
      </w:r>
      <w:r>
        <w:rPr>
          <w:rFonts w:ascii="仿宋" w:eastAsia="仿宋" w:hAnsi="仿宋" w:cs="仿宋" w:hint="eastAsia"/>
          <w:color w:val="auto"/>
          <w:kern w:val="0"/>
          <w:sz w:val="32"/>
          <w:szCs w:val="32"/>
        </w:rPr>
        <w:t>。</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黑体" w:eastAsia="黑体" w:hAnsi="黑体" w:cs="黑体" w:hint="eastAsia"/>
          <w:color w:val="auto"/>
          <w:sz w:val="32"/>
          <w:szCs w:val="32"/>
        </w:rPr>
      </w:pPr>
      <w:r>
        <w:rPr>
          <w:rFonts w:ascii="黑体" w:eastAsia="黑体" w:hAnsi="黑体" w:cs="黑体" w:hint="eastAsia"/>
          <w:color w:val="auto"/>
          <w:sz w:val="32"/>
          <w:szCs w:val="32"/>
        </w:rPr>
        <w:t>二、支出决算情况说明</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澄江市社会保险局2021年度支出合计573.63万元。其中：基本支出533.77万元，占总支出的93.05%；项目支出39.86万元，占总支出的6.95%；上缴上级支出、经营支出、对附属单位补助支出共0.00万元，占总支出的0.00%。与上年对比</w:t>
      </w:r>
      <w:r>
        <w:rPr>
          <w:rFonts w:ascii="仿宋" w:eastAsia="仿宋" w:hAnsi="仿宋" w:cs="仿宋" w:hint="eastAsia"/>
          <w:color w:val="auto"/>
          <w:sz w:val="32"/>
          <w:szCs w:val="32"/>
          <w:lang w:eastAsia="zh-CN"/>
        </w:rPr>
        <w:t>，</w:t>
      </w:r>
      <w:r>
        <w:rPr>
          <w:rFonts w:ascii="仿宋" w:eastAsia="仿宋" w:hAnsi="仿宋" w:cs="仿宋" w:hint="eastAsia"/>
          <w:color w:val="auto"/>
          <w:kern w:val="0"/>
          <w:sz w:val="32"/>
          <w:szCs w:val="32"/>
        </w:rPr>
        <w:t>本年支出</w:t>
      </w:r>
      <w:r>
        <w:rPr>
          <w:rFonts w:ascii="仿宋" w:eastAsia="仿宋" w:hAnsi="仿宋" w:cs="仿宋" w:hint="eastAsia"/>
          <w:color w:val="auto"/>
          <w:kern w:val="0"/>
          <w:sz w:val="32"/>
          <w:szCs w:val="32"/>
          <w:lang w:eastAsia="zh-CN"/>
        </w:rPr>
        <w:t>减少</w:t>
      </w:r>
      <w:r>
        <w:rPr>
          <w:rFonts w:ascii="仿宋" w:eastAsia="仿宋" w:hAnsi="仿宋" w:cs="仿宋" w:hint="eastAsia"/>
          <w:color w:val="auto"/>
          <w:kern w:val="0"/>
          <w:sz w:val="32"/>
          <w:szCs w:val="32"/>
          <w:lang w:val="en-US" w:eastAsia="zh-CN"/>
        </w:rPr>
        <w:t>46.06</w:t>
      </w:r>
      <w:r>
        <w:rPr>
          <w:rFonts w:ascii="仿宋" w:eastAsia="仿宋" w:hAnsi="仿宋" w:cs="仿宋" w:hint="eastAsia"/>
          <w:color w:val="auto"/>
          <w:kern w:val="0"/>
          <w:sz w:val="32"/>
          <w:szCs w:val="32"/>
        </w:rPr>
        <w:t>万元，</w:t>
      </w:r>
      <w:r>
        <w:rPr>
          <w:rFonts w:ascii="仿宋" w:eastAsia="仿宋" w:hAnsi="仿宋" w:cs="仿宋" w:hint="eastAsia"/>
          <w:color w:val="auto"/>
          <w:kern w:val="0"/>
          <w:sz w:val="32"/>
          <w:szCs w:val="32"/>
          <w:lang w:eastAsia="zh-CN"/>
        </w:rPr>
        <w:t>下降</w:t>
      </w:r>
      <w:r>
        <w:rPr>
          <w:rFonts w:ascii="仿宋" w:eastAsia="仿宋" w:hAnsi="仿宋" w:cs="仿宋" w:hint="eastAsia"/>
          <w:color w:val="auto"/>
          <w:kern w:val="0"/>
          <w:sz w:val="32"/>
          <w:szCs w:val="32"/>
          <w:lang w:val="en-US" w:eastAsia="zh-CN"/>
        </w:rPr>
        <w:t>7.43</w:t>
      </w:r>
      <w:r>
        <w:rPr>
          <w:rFonts w:ascii="仿宋" w:eastAsia="仿宋" w:hAnsi="仿宋" w:cs="仿宋" w:hint="eastAsia"/>
          <w:color w:val="auto"/>
          <w:kern w:val="0"/>
          <w:sz w:val="32"/>
          <w:szCs w:val="32"/>
        </w:rPr>
        <w:t>%，主要原因是</w:t>
      </w:r>
      <w:r>
        <w:rPr>
          <w:rFonts w:ascii="仿宋" w:eastAsia="仿宋" w:hAnsi="仿宋" w:cs="仿宋" w:hint="eastAsia"/>
          <w:color w:val="auto"/>
          <w:kern w:val="0"/>
          <w:sz w:val="32"/>
          <w:szCs w:val="32"/>
          <w:lang w:val="en-US" w:eastAsia="zh-CN"/>
        </w:rPr>
        <w:t>2021年项目数减少，社保基金补助类项目均在财政局社保股留存，因此本年支出减少</w:t>
      </w:r>
      <w:r>
        <w:rPr>
          <w:rFonts w:ascii="仿宋" w:eastAsia="仿宋" w:hAnsi="仿宋" w:cs="仿宋" w:hint="eastAsia"/>
          <w:color w:val="auto"/>
          <w:kern w:val="0"/>
          <w:sz w:val="32"/>
          <w:szCs w:val="32"/>
        </w:rPr>
        <w:t>。</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楷体" w:eastAsia="楷体" w:hAnsi="楷体" w:cs="楷体" w:hint="eastAsia"/>
          <w:color w:val="auto"/>
          <w:sz w:val="32"/>
          <w:szCs w:val="32"/>
        </w:rPr>
      </w:pPr>
      <w:r>
        <w:rPr>
          <w:rFonts w:ascii="楷体" w:eastAsia="楷体" w:hAnsi="楷体" w:cs="楷体" w:hint="eastAsia"/>
          <w:color w:val="auto"/>
          <w:sz w:val="32"/>
          <w:szCs w:val="32"/>
        </w:rPr>
        <w:t>（一）基本支出情况</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2021年度用于保障澄江市社会保险局机关、下属事业单位等机构正常运转的日常支出533.77万元。与上年对比</w:t>
      </w:r>
      <w:r>
        <w:rPr>
          <w:rFonts w:ascii="仿宋" w:eastAsia="仿宋" w:hAnsi="仿宋" w:cs="仿宋" w:hint="eastAsia"/>
          <w:color w:val="auto"/>
          <w:sz w:val="32"/>
          <w:szCs w:val="32"/>
          <w:lang w:eastAsia="zh-CN"/>
        </w:rPr>
        <w:t>，</w:t>
      </w:r>
      <w:r>
        <w:rPr>
          <w:rFonts w:ascii="仿宋" w:eastAsia="仿宋" w:hAnsi="仿宋" w:cs="仿宋" w:hint="eastAsia"/>
          <w:color w:val="auto"/>
          <w:kern w:val="0"/>
          <w:sz w:val="32"/>
          <w:szCs w:val="32"/>
          <w:lang w:val="en-US" w:eastAsia="zh-CN"/>
        </w:rPr>
        <w:t>减少3.25</w:t>
      </w:r>
      <w:r>
        <w:rPr>
          <w:rFonts w:ascii="仿宋" w:eastAsia="仿宋" w:hAnsi="仿宋" w:cs="仿宋" w:hint="eastAsia"/>
          <w:color w:val="auto"/>
          <w:kern w:val="0"/>
          <w:sz w:val="32"/>
          <w:szCs w:val="32"/>
        </w:rPr>
        <w:t>万元，</w:t>
      </w:r>
      <w:r>
        <w:rPr>
          <w:rFonts w:ascii="仿宋" w:eastAsia="仿宋" w:hAnsi="仿宋" w:cs="仿宋" w:hint="eastAsia"/>
          <w:color w:val="auto"/>
          <w:kern w:val="0"/>
          <w:sz w:val="32"/>
          <w:szCs w:val="32"/>
          <w:lang w:eastAsia="zh-CN"/>
        </w:rPr>
        <w:t>下降</w:t>
      </w:r>
      <w:r>
        <w:rPr>
          <w:rFonts w:ascii="仿宋" w:eastAsia="仿宋" w:hAnsi="仿宋" w:cs="仿宋" w:hint="eastAsia"/>
          <w:color w:val="auto"/>
          <w:kern w:val="0"/>
          <w:sz w:val="32"/>
          <w:szCs w:val="32"/>
          <w:lang w:val="en-US" w:eastAsia="zh-CN"/>
        </w:rPr>
        <w:t>0.61%，</w:t>
      </w:r>
      <w:r>
        <w:rPr>
          <w:rFonts w:ascii="仿宋" w:eastAsia="仿宋" w:hAnsi="仿宋" w:cs="仿宋" w:hint="eastAsia"/>
          <w:color w:val="auto"/>
          <w:kern w:val="0"/>
          <w:sz w:val="32"/>
          <w:szCs w:val="32"/>
        </w:rPr>
        <w:t>主要原因</w:t>
      </w:r>
      <w:r>
        <w:rPr>
          <w:rFonts w:ascii="仿宋" w:eastAsia="仿宋" w:hAnsi="仿宋" w:cs="仿宋" w:hint="eastAsia"/>
          <w:color w:val="auto"/>
          <w:kern w:val="0"/>
          <w:sz w:val="32"/>
          <w:szCs w:val="32"/>
          <w:shd w:val="clear" w:color="auto" w:fill="FFFFFF"/>
        </w:rPr>
        <w:t>是工资保障水平的增加</w:t>
      </w:r>
      <w:r>
        <w:rPr>
          <w:rFonts w:ascii="仿宋" w:eastAsia="仿宋" w:hAnsi="仿宋" w:cs="仿宋" w:hint="eastAsia"/>
          <w:color w:val="auto"/>
          <w:kern w:val="0"/>
          <w:sz w:val="32"/>
          <w:szCs w:val="32"/>
          <w:shd w:val="clear" w:color="auto" w:fill="FFFFFF"/>
          <w:lang w:eastAsia="zh-CN"/>
        </w:rPr>
        <w:t>，但办公费、差旅费等公用经费减少较多，导致基本支出减少</w:t>
      </w:r>
      <w:r>
        <w:rPr>
          <w:rFonts w:ascii="仿宋" w:eastAsia="仿宋" w:hAnsi="仿宋" w:cs="仿宋" w:hint="eastAsia"/>
          <w:color w:val="auto"/>
          <w:sz w:val="32"/>
          <w:szCs w:val="32"/>
        </w:rPr>
        <w:t>。</w:t>
      </w:r>
      <w:r>
        <w:rPr>
          <w:rFonts w:ascii="仿宋" w:eastAsia="仿宋" w:hAnsi="仿宋" w:cs="仿宋" w:hint="eastAsia"/>
          <w:color w:val="auto"/>
          <w:sz w:val="32"/>
          <w:szCs w:val="32"/>
          <w:lang w:eastAsia="zh-CN"/>
        </w:rPr>
        <w:t>其中：</w:t>
      </w:r>
      <w:r>
        <w:rPr>
          <w:rFonts w:ascii="仿宋" w:eastAsia="仿宋" w:hAnsi="仿宋" w:cs="仿宋" w:hint="eastAsia"/>
          <w:color w:val="auto"/>
          <w:sz w:val="32"/>
          <w:szCs w:val="32"/>
        </w:rPr>
        <w:t>基本工资、津贴补贴等人员经费支出492.05万元，占基本支出的92.18%</w:t>
      </w:r>
      <w:r>
        <w:rPr>
          <w:rFonts w:ascii="仿宋" w:eastAsia="仿宋" w:hAnsi="仿宋" w:cs="仿宋" w:hint="eastAsia"/>
          <w:color w:val="auto"/>
          <w:sz w:val="32"/>
          <w:szCs w:val="32"/>
          <w:lang w:eastAsia="zh-CN"/>
        </w:rPr>
        <w:t>；</w:t>
      </w:r>
      <w:r>
        <w:rPr>
          <w:rFonts w:ascii="仿宋" w:eastAsia="仿宋" w:hAnsi="仿宋" w:cs="仿宋" w:hint="eastAsia"/>
          <w:color w:val="auto"/>
          <w:sz w:val="32"/>
          <w:szCs w:val="32"/>
        </w:rPr>
        <w:t>办公费、印刷费、水电费、办公设备购置等公用经费41.72万元，占基本支出的7.82%。</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楷体" w:eastAsia="楷体" w:hAnsi="楷体" w:cs="楷体" w:hint="eastAsia"/>
          <w:color w:val="auto"/>
          <w:sz w:val="32"/>
          <w:szCs w:val="32"/>
        </w:rPr>
      </w:pPr>
      <w:r>
        <w:rPr>
          <w:rFonts w:ascii="楷体" w:eastAsia="楷体" w:hAnsi="楷体" w:cs="楷体" w:hint="eastAsia"/>
          <w:color w:val="auto"/>
          <w:sz w:val="32"/>
          <w:szCs w:val="32"/>
        </w:rPr>
        <w:t>（二）项目支出情况</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lang w:eastAsia="zh-CN"/>
        </w:rPr>
      </w:pPr>
      <w:r>
        <w:rPr>
          <w:rFonts w:ascii="仿宋" w:eastAsia="仿宋" w:hAnsi="仿宋" w:cs="仿宋" w:hint="eastAsia"/>
          <w:color w:val="auto"/>
          <w:sz w:val="32"/>
          <w:szCs w:val="32"/>
        </w:rPr>
        <w:t>2021年度用于保障澄江市社会保险局机构、下属事业单位等机构为完成特定的行政工作任务或事业发展目标，用于专项业务工作的经费支出39.86万元。与上年对比</w:t>
      </w:r>
      <w:r>
        <w:rPr>
          <w:rFonts w:ascii="仿宋" w:eastAsia="仿宋" w:hAnsi="仿宋" w:cs="仿宋" w:hint="eastAsia"/>
          <w:color w:val="auto"/>
          <w:sz w:val="32"/>
          <w:szCs w:val="32"/>
          <w:lang w:eastAsia="zh-CN"/>
        </w:rPr>
        <w:t>，减少</w:t>
      </w:r>
      <w:r>
        <w:rPr>
          <w:rFonts w:ascii="仿宋" w:eastAsia="仿宋" w:hAnsi="仿宋" w:cs="仿宋" w:hint="eastAsia"/>
          <w:color w:val="auto"/>
          <w:sz w:val="32"/>
          <w:szCs w:val="32"/>
          <w:lang w:val="en-US" w:eastAsia="zh-CN"/>
        </w:rPr>
        <w:t>42.81万元，</w:t>
      </w:r>
      <w:r>
        <w:rPr>
          <w:rFonts w:ascii="仿宋" w:eastAsia="仿宋" w:hAnsi="仿宋" w:cs="仿宋" w:hint="eastAsia"/>
          <w:color w:val="auto"/>
          <w:kern w:val="0"/>
          <w:sz w:val="32"/>
          <w:szCs w:val="32"/>
          <w:lang w:eastAsia="zh-CN"/>
        </w:rPr>
        <w:t>下降</w:t>
      </w:r>
      <w:r>
        <w:rPr>
          <w:rFonts w:ascii="仿宋" w:eastAsia="仿宋" w:hAnsi="仿宋" w:cs="仿宋" w:hint="eastAsia"/>
          <w:color w:val="auto"/>
          <w:sz w:val="32"/>
          <w:szCs w:val="32"/>
          <w:lang w:val="en-US" w:eastAsia="zh-CN"/>
        </w:rPr>
        <w:t>51.78%</w:t>
      </w:r>
      <w:r>
        <w:rPr>
          <w:rFonts w:ascii="仿宋" w:eastAsia="仿宋" w:hAnsi="仿宋" w:cs="仿宋" w:hint="eastAsia"/>
          <w:color w:val="auto"/>
          <w:sz w:val="32"/>
          <w:szCs w:val="32"/>
        </w:rPr>
        <w:t>，主要原因</w:t>
      </w:r>
      <w:r>
        <w:rPr>
          <w:rFonts w:ascii="仿宋" w:eastAsia="仿宋" w:hAnsi="仿宋" w:cs="仿宋" w:hint="eastAsia"/>
          <w:color w:val="auto"/>
          <w:sz w:val="32"/>
          <w:szCs w:val="32"/>
          <w:lang w:eastAsia="zh-CN"/>
        </w:rPr>
        <w:t>是</w:t>
      </w:r>
      <w:r>
        <w:rPr>
          <w:rFonts w:ascii="仿宋" w:eastAsia="仿宋" w:hAnsi="仿宋" w:cs="仿宋" w:hint="eastAsia"/>
          <w:color w:val="auto"/>
          <w:kern w:val="0"/>
          <w:sz w:val="32"/>
          <w:szCs w:val="32"/>
          <w:lang w:val="en-US" w:eastAsia="zh-CN"/>
        </w:rPr>
        <w:t>2021年项目数减少，社保基金补助类项目均在财政局社保股留存，因此本年支出减少</w:t>
      </w:r>
      <w:r>
        <w:rPr>
          <w:rFonts w:ascii="仿宋" w:eastAsia="仿宋" w:hAnsi="仿宋" w:cs="仿宋" w:hint="eastAsia"/>
          <w:color w:val="auto"/>
          <w:sz w:val="32"/>
          <w:szCs w:val="32"/>
        </w:rPr>
        <w:t>。具体项目开支及开展工作情况</w:t>
      </w:r>
      <w:r>
        <w:rPr>
          <w:rFonts w:ascii="仿宋" w:eastAsia="仿宋" w:hAnsi="仿宋" w:cs="仿宋" w:hint="eastAsia"/>
          <w:color w:val="auto"/>
          <w:sz w:val="32"/>
          <w:szCs w:val="32"/>
          <w:lang w:eastAsia="zh-CN"/>
        </w:rPr>
        <w:t>是：</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lang w:eastAsia="zh-CN"/>
        </w:rPr>
        <w:t>2020至2021年国有企业退休人员社会化管理中央补助资金11</w:t>
      </w:r>
      <w:r>
        <w:rPr>
          <w:rFonts w:ascii="仿宋" w:eastAsia="仿宋" w:hAnsi="仿宋" w:cs="仿宋" w:hint="eastAsia"/>
          <w:color w:val="auto"/>
          <w:sz w:val="32"/>
          <w:szCs w:val="32"/>
          <w:lang w:val="en-US" w:eastAsia="zh-CN"/>
        </w:rPr>
        <w:t>.</w:t>
      </w:r>
      <w:r>
        <w:rPr>
          <w:rFonts w:ascii="仿宋" w:eastAsia="仿宋" w:hAnsi="仿宋" w:cs="仿宋" w:hint="eastAsia"/>
          <w:color w:val="auto"/>
          <w:sz w:val="32"/>
          <w:szCs w:val="32"/>
          <w:lang w:eastAsia="zh-CN"/>
        </w:rPr>
        <w:t>87万元，主要用于支付给乡镇社区，对国有企业退休人员社会化管理进行补助</w:t>
      </w:r>
      <w:r>
        <w:rPr>
          <w:rFonts w:ascii="仿宋" w:eastAsia="仿宋" w:hAnsi="仿宋" w:cs="仿宋" w:hint="eastAsia"/>
          <w:color w:val="auto"/>
          <w:sz w:val="32"/>
          <w:szCs w:val="32"/>
        </w:rPr>
        <w:t>。</w:t>
      </w:r>
    </w:p>
    <w:p>
      <w:pPr>
        <w:pStyle w:val="NormalIndent"/>
        <w:keepNext w:val="0"/>
        <w:keepLines w:val="0"/>
        <w:pageBreakBefore w:val="0"/>
        <w:widowControl/>
        <w:kinsoku/>
        <w:wordWrap/>
        <w:overflowPunct/>
        <w:bidi w:val="0"/>
        <w:adjustRightInd/>
        <w:spacing w:before="0" w:after="0" w:line="590" w:lineRule="exact"/>
        <w:ind w:left="0" w:right="0" w:firstLine="640" w:leftChars="0" w:rightChars="0" w:firstLineChars="200"/>
        <w:jc w:val="both"/>
        <w:textAlignment w:val="auto"/>
        <w:outlineLvl w:val="9"/>
        <w:rPr>
          <w:rFonts w:ascii="仿宋" w:eastAsia="仿宋" w:hAnsi="仿宋" w:cs="仿宋" w:hint="eastAsia"/>
          <w:color w:val="auto"/>
          <w:sz w:val="32"/>
          <w:szCs w:val="32"/>
          <w:lang w:eastAsia="zh-CN"/>
        </w:rPr>
      </w:pPr>
      <w:r>
        <w:rPr>
          <w:rFonts w:ascii="仿宋" w:eastAsia="仿宋" w:hAnsi="仿宋" w:cs="仿宋" w:hint="eastAsia"/>
          <w:color w:val="auto"/>
          <w:sz w:val="32"/>
          <w:szCs w:val="32"/>
        </w:rPr>
        <w:t>2021年国有企业退休人员社会化管理补助资金</w:t>
      </w:r>
      <w:r>
        <w:rPr>
          <w:rFonts w:ascii="仿宋" w:eastAsia="仿宋" w:hAnsi="仿宋" w:cs="仿宋" w:hint="eastAsia"/>
          <w:color w:val="auto"/>
          <w:sz w:val="32"/>
          <w:szCs w:val="32"/>
          <w:lang w:val="en-US" w:eastAsia="zh-CN"/>
        </w:rPr>
        <w:t>3.14万元，主要用于</w:t>
      </w:r>
      <w:r>
        <w:rPr>
          <w:rFonts w:ascii="仿宋" w:eastAsia="仿宋" w:hAnsi="仿宋" w:cs="仿宋" w:hint="eastAsia"/>
          <w:color w:val="auto"/>
          <w:sz w:val="32"/>
          <w:szCs w:val="32"/>
          <w:lang w:eastAsia="zh-CN"/>
        </w:rPr>
        <w:t>支付给乡镇社区，对国有企业退休人员社会化管理进行补助。</w:t>
      </w:r>
    </w:p>
    <w:p>
      <w:pPr>
        <w:keepNext w:val="0"/>
        <w:keepLines w:val="0"/>
        <w:pageBreakBefore w:val="0"/>
        <w:widowControl/>
        <w:kinsoku/>
        <w:wordWrap/>
        <w:overflowPunct/>
        <w:bidi w:val="0"/>
        <w:adjustRightInd/>
        <w:spacing w:line="590" w:lineRule="exact"/>
        <w:ind w:left="0" w:right="0" w:firstLine="640" w:leftChars="0" w:rightChars="0" w:firstLineChars="200"/>
        <w:jc w:val="both"/>
        <w:textAlignment w:val="auto"/>
        <w:outlineLvl w:val="9"/>
        <w:rPr>
          <w:rFonts w:ascii="仿宋" w:eastAsia="仿宋" w:hAnsi="仿宋" w:cs="仿宋" w:hint="eastAsia"/>
          <w:color w:val="auto"/>
          <w:sz w:val="32"/>
          <w:szCs w:val="32"/>
          <w:lang w:val="en-US" w:eastAsia="zh-CN"/>
        </w:rPr>
      </w:pPr>
      <w:r>
        <w:rPr>
          <w:rFonts w:ascii="仿宋" w:eastAsia="仿宋" w:hAnsi="仿宋" w:cs="仿宋" w:hint="eastAsia"/>
          <w:color w:val="auto"/>
          <w:sz w:val="32"/>
          <w:szCs w:val="32"/>
        </w:rPr>
        <w:t>乡居民养老保险村级协管员工作经费</w:t>
      </w:r>
      <w:r>
        <w:rPr>
          <w:rFonts w:ascii="仿宋" w:eastAsia="仿宋" w:hAnsi="仿宋" w:cs="仿宋" w:hint="eastAsia"/>
          <w:color w:val="auto"/>
          <w:sz w:val="32"/>
          <w:szCs w:val="32"/>
          <w:lang w:val="en-US" w:eastAsia="zh-CN"/>
        </w:rPr>
        <w:t>1.84万元，主要用于对乡镇养老保险协办员进行补助，本年补助1-2月。</w:t>
      </w:r>
    </w:p>
    <w:p>
      <w:pPr>
        <w:pStyle w:val="NormalIndent"/>
        <w:keepNext w:val="0"/>
        <w:keepLines w:val="0"/>
        <w:pageBreakBefore w:val="0"/>
        <w:widowControl/>
        <w:kinsoku/>
        <w:wordWrap/>
        <w:overflowPunct/>
        <w:bidi w:val="0"/>
        <w:adjustRightInd/>
        <w:spacing w:before="0" w:after="0" w:line="590" w:lineRule="exact"/>
        <w:ind w:left="0" w:right="0" w:firstLine="640" w:leftChars="0" w:rightChars="0" w:firstLineChars="200"/>
        <w:jc w:val="both"/>
        <w:textAlignment w:val="auto"/>
        <w:outlineLvl w:val="9"/>
        <w:rPr>
          <w:rFonts w:ascii="仿宋" w:eastAsia="仿宋" w:hAnsi="仿宋" w:cs="仿宋" w:hint="eastAsia"/>
          <w:color w:val="auto"/>
          <w:sz w:val="32"/>
          <w:szCs w:val="32"/>
          <w:lang w:val="en-US" w:eastAsia="zh-CN"/>
        </w:rPr>
      </w:pPr>
      <w:r>
        <w:rPr>
          <w:rFonts w:ascii="仿宋" w:eastAsia="仿宋" w:hAnsi="仿宋" w:cs="仿宋" w:hint="eastAsia"/>
          <w:color w:val="auto"/>
          <w:sz w:val="32"/>
          <w:szCs w:val="32"/>
        </w:rPr>
        <w:t>企业退休人员管理服务经费</w:t>
      </w:r>
      <w:r>
        <w:rPr>
          <w:rFonts w:ascii="仿宋" w:eastAsia="仿宋" w:hAnsi="仿宋" w:cs="仿宋" w:hint="eastAsia"/>
          <w:color w:val="auto"/>
          <w:sz w:val="32"/>
          <w:szCs w:val="32"/>
          <w:lang w:val="en-US" w:eastAsia="zh-CN"/>
        </w:rPr>
        <w:t>6.54万元，主要用于对改制企业退休人员进行春节、重阳节慰问，生病和病故慰问等支出。</w:t>
      </w:r>
    </w:p>
    <w:p>
      <w:pPr>
        <w:keepNext w:val="0"/>
        <w:keepLines w:val="0"/>
        <w:pageBreakBefore w:val="0"/>
        <w:widowControl/>
        <w:kinsoku/>
        <w:wordWrap/>
        <w:overflowPunct/>
        <w:bidi w:val="0"/>
        <w:adjustRightInd/>
        <w:spacing w:line="590" w:lineRule="exact"/>
        <w:ind w:left="0" w:right="0" w:firstLine="640" w:leftChars="0" w:rightChars="0" w:firstLineChars="200"/>
        <w:jc w:val="both"/>
        <w:textAlignment w:val="auto"/>
        <w:outlineLvl w:val="9"/>
        <w:rPr>
          <w:rFonts w:ascii="仿宋" w:eastAsia="仿宋" w:hAnsi="仿宋" w:cs="仿宋" w:hint="eastAsia"/>
          <w:color w:val="auto"/>
          <w:sz w:val="32"/>
          <w:szCs w:val="32"/>
          <w:lang w:val="en-US" w:eastAsia="zh-CN"/>
        </w:rPr>
      </w:pPr>
      <w:r>
        <w:rPr>
          <w:rFonts w:ascii="仿宋" w:eastAsia="仿宋" w:hAnsi="仿宋" w:cs="仿宋" w:hint="eastAsia"/>
          <w:color w:val="auto"/>
          <w:sz w:val="32"/>
          <w:szCs w:val="32"/>
        </w:rPr>
        <w:t>企业退休人员护理经费</w:t>
      </w:r>
      <w:r>
        <w:rPr>
          <w:rFonts w:ascii="仿宋" w:eastAsia="仿宋" w:hAnsi="仿宋" w:cs="仿宋" w:hint="eastAsia"/>
          <w:color w:val="auto"/>
          <w:sz w:val="32"/>
          <w:szCs w:val="32"/>
          <w:lang w:val="en-US" w:eastAsia="zh-CN"/>
        </w:rPr>
        <w:t>6.37万元，主要用于对丧失生活自理能力和完全丧失生活自理能力的改制企业退休人员进行补助。</w:t>
      </w:r>
    </w:p>
    <w:p>
      <w:pPr>
        <w:pStyle w:val="NormalIndent"/>
        <w:keepNext w:val="0"/>
        <w:keepLines w:val="0"/>
        <w:pageBreakBefore w:val="0"/>
        <w:widowControl/>
        <w:kinsoku/>
        <w:wordWrap/>
        <w:overflowPunct/>
        <w:bidi w:val="0"/>
        <w:adjustRightInd/>
        <w:spacing w:before="0" w:after="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澄江市企业退休人员一次性生活补助资金</w:t>
      </w:r>
      <w:r>
        <w:rPr>
          <w:rFonts w:ascii="仿宋" w:eastAsia="仿宋" w:hAnsi="仿宋" w:cs="仿宋" w:hint="eastAsia"/>
          <w:color w:val="auto"/>
          <w:sz w:val="32"/>
          <w:szCs w:val="32"/>
          <w:lang w:val="en-US" w:eastAsia="zh-CN"/>
        </w:rPr>
        <w:t>10.10万元，主要用于对</w:t>
      </w:r>
      <w:r>
        <w:rPr>
          <w:rFonts w:ascii="仿宋" w:eastAsia="仿宋" w:hAnsi="仿宋" w:cs="仿宋" w:hint="eastAsia"/>
          <w:color w:val="auto"/>
          <w:sz w:val="32"/>
          <w:szCs w:val="32"/>
        </w:rPr>
        <w:t>在春节前开展送温暖活动，对困难群众进行慰问</w:t>
      </w:r>
      <w:r>
        <w:rPr>
          <w:rFonts w:ascii="仿宋" w:eastAsia="仿宋" w:hAnsi="仿宋" w:cs="仿宋" w:hint="eastAsia"/>
          <w:color w:val="auto"/>
          <w:sz w:val="32"/>
          <w:szCs w:val="32"/>
          <w:lang w:eastAsia="zh-CN"/>
        </w:rPr>
        <w:t>。</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黑体" w:eastAsia="黑体" w:hAnsi="黑体" w:cs="黑体" w:hint="eastAsia"/>
          <w:color w:val="auto"/>
          <w:sz w:val="32"/>
          <w:szCs w:val="32"/>
        </w:rPr>
      </w:pPr>
      <w:r>
        <w:rPr>
          <w:rFonts w:ascii="黑体" w:eastAsia="黑体" w:hAnsi="黑体" w:cs="黑体" w:hint="eastAsia"/>
          <w:color w:val="auto"/>
          <w:sz w:val="32"/>
          <w:szCs w:val="32"/>
        </w:rPr>
        <w:t>三、一般公共预算财政拨款支出决算情况说明</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楷体" w:eastAsia="楷体" w:hAnsi="楷体" w:cs="楷体" w:hint="eastAsia"/>
          <w:color w:val="auto"/>
          <w:sz w:val="32"/>
          <w:szCs w:val="32"/>
        </w:rPr>
      </w:pPr>
      <w:r>
        <w:rPr>
          <w:rFonts w:ascii="楷体" w:eastAsia="楷体" w:hAnsi="楷体" w:cs="楷体" w:hint="eastAsia"/>
          <w:color w:val="auto"/>
          <w:sz w:val="32"/>
          <w:szCs w:val="32"/>
        </w:rPr>
        <w:t>（一）一般公共预算财政拨款支出决算总体情况</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澄江市社会保险局2021年度一般公共预算财政拨款支出558.62万元，占本年支出合计的97.38%。与上年对比</w:t>
      </w:r>
      <w:r>
        <w:rPr>
          <w:rFonts w:ascii="仿宋" w:eastAsia="仿宋" w:hAnsi="仿宋" w:cs="仿宋" w:hint="eastAsia"/>
          <w:color w:val="auto"/>
          <w:sz w:val="32"/>
          <w:szCs w:val="32"/>
          <w:lang w:eastAsia="zh-CN"/>
        </w:rPr>
        <w:t>，减少</w:t>
      </w:r>
      <w:r>
        <w:rPr>
          <w:rFonts w:ascii="仿宋" w:eastAsia="仿宋" w:hAnsi="仿宋" w:cs="仿宋" w:hint="eastAsia"/>
          <w:color w:val="auto"/>
          <w:sz w:val="32"/>
          <w:szCs w:val="32"/>
          <w:lang w:val="en-US" w:eastAsia="zh-CN"/>
        </w:rPr>
        <w:t>59.40万元，</w:t>
      </w:r>
      <w:r>
        <w:rPr>
          <w:rFonts w:ascii="仿宋" w:eastAsia="仿宋" w:hAnsi="仿宋" w:cs="仿宋" w:hint="eastAsia"/>
          <w:color w:val="auto"/>
          <w:kern w:val="0"/>
          <w:sz w:val="32"/>
          <w:szCs w:val="32"/>
          <w:lang w:eastAsia="zh-CN"/>
        </w:rPr>
        <w:t>下降</w:t>
      </w:r>
      <w:r>
        <w:rPr>
          <w:rFonts w:ascii="仿宋" w:eastAsia="仿宋" w:hAnsi="仿宋" w:cs="仿宋" w:hint="eastAsia"/>
          <w:color w:val="auto"/>
          <w:sz w:val="32"/>
          <w:szCs w:val="32"/>
          <w:lang w:val="en-US" w:eastAsia="zh-CN"/>
        </w:rPr>
        <w:t>9.60%</w:t>
      </w:r>
      <w:r>
        <w:rPr>
          <w:rFonts w:ascii="仿宋" w:eastAsia="仿宋" w:hAnsi="仿宋" w:cs="仿宋" w:hint="eastAsia"/>
          <w:color w:val="auto"/>
          <w:sz w:val="32"/>
          <w:szCs w:val="32"/>
        </w:rPr>
        <w:t>，</w:t>
      </w:r>
      <w:r>
        <w:rPr>
          <w:rFonts w:ascii="仿宋" w:eastAsia="仿宋" w:hAnsi="仿宋" w:cs="仿宋" w:hint="eastAsia"/>
          <w:color w:val="auto"/>
          <w:kern w:val="0"/>
          <w:sz w:val="32"/>
          <w:szCs w:val="32"/>
        </w:rPr>
        <w:t>主要原因</w:t>
      </w:r>
      <w:r>
        <w:rPr>
          <w:rFonts w:ascii="仿宋" w:eastAsia="仿宋" w:hAnsi="仿宋" w:cs="仿宋" w:hint="eastAsia"/>
          <w:color w:val="auto"/>
          <w:kern w:val="0"/>
          <w:sz w:val="32"/>
          <w:szCs w:val="32"/>
          <w:shd w:val="clear" w:color="auto" w:fill="FFFFFF"/>
        </w:rPr>
        <w:t>是工资保障水平的增加</w:t>
      </w:r>
      <w:r>
        <w:rPr>
          <w:rFonts w:ascii="仿宋" w:eastAsia="仿宋" w:hAnsi="仿宋" w:cs="仿宋" w:hint="eastAsia"/>
          <w:color w:val="auto"/>
          <w:kern w:val="0"/>
          <w:sz w:val="32"/>
          <w:szCs w:val="32"/>
          <w:shd w:val="clear" w:color="auto" w:fill="FFFFFF"/>
          <w:lang w:eastAsia="zh-CN"/>
        </w:rPr>
        <w:t>，但办公费、差旅费等公用经费减少较多，导致一般公共预算财政拨款支出减少</w:t>
      </w:r>
      <w:r>
        <w:rPr>
          <w:rFonts w:ascii="仿宋" w:eastAsia="仿宋" w:hAnsi="仿宋" w:cs="仿宋" w:hint="eastAsia"/>
          <w:color w:val="auto"/>
          <w:sz w:val="32"/>
          <w:szCs w:val="32"/>
        </w:rPr>
        <w:t>。</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楷体" w:eastAsia="楷体" w:hAnsi="楷体" w:cs="楷体" w:hint="eastAsia"/>
          <w:color w:val="auto"/>
          <w:sz w:val="32"/>
          <w:szCs w:val="32"/>
        </w:rPr>
      </w:pPr>
      <w:r>
        <w:rPr>
          <w:rFonts w:ascii="楷体" w:eastAsia="楷体" w:hAnsi="楷体" w:cs="楷体" w:hint="eastAsia"/>
          <w:color w:val="auto"/>
          <w:sz w:val="32"/>
          <w:szCs w:val="32"/>
        </w:rPr>
        <w:t>（二）一般公共预算财政拨款支出决算具体情况</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1．一般公共服务（类）支出0.00万元，占一般公共预算财政拨款总支出的0.00%。</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2．外交（类）支出0.00万元，占一般公共预算财政拨款总支出的0.00%。</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3．国防（类）支出0.00万元，占一般公共预算财政拨款总支出的0.00%。</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4．公共安全（类）支出0.00万元，占一般公共预算财政拨款总支出的0.00%。</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5．教育（类）支出0.00万元，占一般公共预算财政拨款总支出的0.00%。</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6．科学技术（类）支出0.00万元，占一般公共预算财政拨款总支出的0.00%。</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7．文化旅游体育与传媒（类）支出0.00万元，占一般公共预算财政拨款总支出的0.00%。</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8．社会保障和就业（类）支出493.06万元，占一般公共预算财政拨款总支出的88.26%。</w:t>
      </w:r>
      <w:r>
        <w:rPr>
          <w:rFonts w:ascii="仿宋" w:eastAsia="仿宋" w:hAnsi="仿宋" w:cs="仿宋" w:hint="eastAsia"/>
          <w:color w:val="auto"/>
          <w:sz w:val="32"/>
          <w:szCs w:val="32"/>
          <w:shd w:val="clear" w:color="auto" w:fill="FFFFFF"/>
        </w:rPr>
        <w:t>主要用于</w:t>
      </w:r>
      <w:r>
        <w:rPr>
          <w:rFonts w:ascii="仿宋" w:eastAsia="仿宋" w:hAnsi="仿宋" w:cs="仿宋" w:hint="eastAsia"/>
          <w:color w:val="auto"/>
          <w:sz w:val="32"/>
          <w:szCs w:val="32"/>
          <w:shd w:val="clear" w:color="auto" w:fill="FFFFFF"/>
          <w:lang w:eastAsia="zh-CN"/>
        </w:rPr>
        <w:t>工资津补贴、</w:t>
      </w:r>
      <w:r>
        <w:rPr>
          <w:rFonts w:ascii="仿宋" w:eastAsia="仿宋" w:hAnsi="仿宋" w:cs="仿宋" w:hint="eastAsia"/>
          <w:color w:val="auto"/>
          <w:sz w:val="32"/>
          <w:szCs w:val="32"/>
        </w:rPr>
        <w:t>单位保险缴费</w:t>
      </w:r>
      <w:r>
        <w:rPr>
          <w:rFonts w:ascii="仿宋" w:eastAsia="仿宋" w:hAnsi="仿宋" w:cs="仿宋" w:hint="eastAsia"/>
          <w:color w:val="auto"/>
          <w:sz w:val="32"/>
          <w:szCs w:val="32"/>
          <w:lang w:eastAsia="zh-CN"/>
        </w:rPr>
        <w:t>等</w:t>
      </w:r>
      <w:r>
        <w:rPr>
          <w:rFonts w:ascii="仿宋" w:eastAsia="仿宋" w:hAnsi="仿宋" w:cs="仿宋" w:hint="eastAsia"/>
          <w:color w:val="auto"/>
          <w:sz w:val="32"/>
          <w:szCs w:val="32"/>
        </w:rPr>
        <w:t>支出</w:t>
      </w:r>
      <w:r>
        <w:rPr>
          <w:rFonts w:ascii="仿宋" w:eastAsia="仿宋" w:hAnsi="仿宋" w:cs="仿宋" w:hint="eastAsia"/>
          <w:color w:val="auto"/>
          <w:sz w:val="32"/>
          <w:szCs w:val="32"/>
          <w:lang w:val="en-US" w:eastAsia="zh-CN"/>
        </w:rPr>
        <w:t>345.86万元；</w:t>
      </w:r>
      <w:r>
        <w:rPr>
          <w:rFonts w:ascii="仿宋" w:eastAsia="仿宋" w:hAnsi="仿宋" w:cs="仿宋" w:hint="eastAsia"/>
          <w:color w:val="auto"/>
          <w:kern w:val="0"/>
          <w:sz w:val="32"/>
          <w:szCs w:val="32"/>
          <w:shd w:val="clear" w:color="auto" w:fill="FFFFFF"/>
        </w:rPr>
        <w:t>人头公用经费等支出</w:t>
      </w:r>
      <w:r>
        <w:rPr>
          <w:rFonts w:ascii="仿宋" w:eastAsia="仿宋" w:hAnsi="仿宋" w:cs="仿宋" w:hint="eastAsia"/>
          <w:color w:val="auto"/>
          <w:kern w:val="0"/>
          <w:sz w:val="32"/>
          <w:szCs w:val="32"/>
          <w:shd w:val="clear" w:color="auto" w:fill="FFFFFF"/>
          <w:lang w:val="en-US" w:eastAsia="zh-CN"/>
        </w:rPr>
        <w:t>43.56万元；本单位退休人员生活补助和企业退休人员补助费等支出103.64万元。</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9．卫生健康（类）支出27.90万元，占一般公共预算财政拨款总支出的4.99%。</w:t>
      </w:r>
      <w:r>
        <w:rPr>
          <w:rFonts w:ascii="仿宋" w:eastAsia="仿宋" w:hAnsi="仿宋" w:cs="仿宋" w:hint="eastAsia"/>
          <w:color w:val="auto"/>
          <w:sz w:val="32"/>
          <w:szCs w:val="32"/>
          <w:shd w:val="clear" w:color="auto" w:fill="FFFFFF"/>
        </w:rPr>
        <w:t>主要用于职工基本医疗保险缴费</w:t>
      </w:r>
      <w:r>
        <w:rPr>
          <w:rFonts w:ascii="仿宋" w:eastAsia="仿宋" w:hAnsi="仿宋" w:cs="仿宋" w:hint="eastAsia"/>
          <w:color w:val="auto"/>
          <w:sz w:val="32"/>
          <w:szCs w:val="32"/>
          <w:shd w:val="clear" w:color="auto" w:fill="FFFFFF"/>
          <w:lang w:val="en-US" w:eastAsia="zh-CN"/>
        </w:rPr>
        <w:t>15.43万元，公务员医疗补助缴费11.62万元，大病补助0.85万元。</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10．节能环保（类）支出0.00万元，占一般公共预算财政拨款总支出的0.00%。</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11．城乡社区（类）支出0.00万元，占一般公共预算财政拨款总支出的0.00%。</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12．农林水（类）支出0.00万元，占一般公共预算财政拨款总支出的0.00%。</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13．交通运输（类）支出0.00万元，占一般公共预算财政拨款总支出的0.00%。</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14．资源勘探工业信息等（类）支出类0.00万元，占一般公共预算财政拨款总支出的0.00%。</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15．商业服务业等（类）支出0.00万元，占一般公共预算财政拨款总支出的0.00%。</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16．金融（类）支出0.00万元，占一般公共预算财政拨款总支出的0.00%。</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17．援助其他地区（类）支出0.00万元，占一般公共预算财政拨款总支出的0.00%。</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18．自然资源海洋气象等（类）支出0.00万元，占一般公共预算财政拨款总支出的0.00%。</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19．住房保障（类）支出37.65万元，占一般公共预算财政拨款总支出的6.74%。</w:t>
      </w:r>
      <w:r>
        <w:rPr>
          <w:rFonts w:ascii="仿宋" w:eastAsia="仿宋" w:hAnsi="仿宋" w:cs="仿宋" w:hint="eastAsia"/>
          <w:color w:val="auto"/>
          <w:sz w:val="32"/>
          <w:szCs w:val="32"/>
          <w:shd w:val="clear" w:color="auto" w:fill="FFFFFF"/>
        </w:rPr>
        <w:t>主要用于</w:t>
      </w:r>
      <w:r>
        <w:rPr>
          <w:rFonts w:ascii="仿宋" w:eastAsia="仿宋" w:hAnsi="仿宋" w:cs="仿宋" w:hint="eastAsia"/>
          <w:color w:val="auto"/>
          <w:sz w:val="32"/>
          <w:szCs w:val="32"/>
          <w:shd w:val="clear" w:color="auto" w:fill="FFFFFF"/>
          <w:lang w:eastAsia="zh-CN"/>
        </w:rPr>
        <w:t>职</w:t>
      </w:r>
      <w:r>
        <w:rPr>
          <w:rFonts w:ascii="仿宋" w:eastAsia="仿宋" w:hAnsi="仿宋" w:cs="仿宋" w:hint="eastAsia"/>
          <w:color w:val="auto"/>
          <w:kern w:val="0"/>
          <w:sz w:val="32"/>
          <w:szCs w:val="32"/>
          <w:shd w:val="clear" w:color="auto" w:fill="FFFFFF"/>
        </w:rPr>
        <w:t>工缴住房公积金</w:t>
      </w:r>
      <w:r>
        <w:rPr>
          <w:rFonts w:ascii="仿宋" w:eastAsia="仿宋" w:hAnsi="仿宋" w:cs="仿宋" w:hint="eastAsia"/>
          <w:color w:val="auto"/>
          <w:kern w:val="0"/>
          <w:sz w:val="32"/>
          <w:szCs w:val="32"/>
          <w:shd w:val="clear" w:color="auto" w:fill="FFFFFF"/>
          <w:lang w:val="en-US" w:eastAsia="zh-CN"/>
        </w:rPr>
        <w:t>35.99</w:t>
      </w:r>
      <w:r>
        <w:rPr>
          <w:rFonts w:ascii="仿宋" w:eastAsia="仿宋" w:hAnsi="仿宋" w:cs="仿宋" w:hint="eastAsia"/>
          <w:color w:val="auto"/>
          <w:kern w:val="0"/>
          <w:sz w:val="32"/>
          <w:szCs w:val="32"/>
          <w:shd w:val="clear" w:color="auto" w:fill="FFFFFF"/>
        </w:rPr>
        <w:t>万元，职工购房补贴</w:t>
      </w:r>
      <w:r>
        <w:rPr>
          <w:rFonts w:ascii="仿宋" w:eastAsia="仿宋" w:hAnsi="仿宋" w:cs="仿宋" w:hint="eastAsia"/>
          <w:color w:val="auto"/>
          <w:kern w:val="0"/>
          <w:sz w:val="32"/>
          <w:szCs w:val="32"/>
          <w:shd w:val="clear" w:color="auto" w:fill="FFFFFF"/>
          <w:lang w:val="en-US" w:eastAsia="zh-CN"/>
        </w:rPr>
        <w:t>1.66</w:t>
      </w:r>
      <w:r>
        <w:rPr>
          <w:rFonts w:ascii="仿宋" w:eastAsia="仿宋" w:hAnsi="仿宋" w:cs="仿宋" w:hint="eastAsia"/>
          <w:color w:val="auto"/>
          <w:kern w:val="0"/>
          <w:sz w:val="32"/>
          <w:szCs w:val="32"/>
          <w:shd w:val="clear" w:color="auto" w:fill="FFFFFF"/>
        </w:rPr>
        <w:t>万元</w:t>
      </w:r>
      <w:r>
        <w:rPr>
          <w:rFonts w:ascii="仿宋" w:eastAsia="仿宋" w:hAnsi="仿宋" w:cs="仿宋" w:hint="eastAsia"/>
          <w:color w:val="auto"/>
          <w:kern w:val="0"/>
          <w:sz w:val="32"/>
          <w:szCs w:val="32"/>
          <w:shd w:val="clear" w:color="auto" w:fill="FFFFFF"/>
          <w:lang w:eastAsia="zh-CN"/>
        </w:rPr>
        <w:t>。</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20．粮油物资储备（类）支出0.00万元，占一般公共预算财政拨款总支出的0.00%。</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21．国有资本经营预算（类）支出0.00万元，占一般公共预算财政拨款总支出的0.00%。</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22．灾害防治及应急管理（类）支出0.00万元，占一般公共预算财政拨款总支出的0.00%。</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23．其他（类）支出0.00万元，占一般公共预算财政拨款总支出的0.00%。</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24．债务还本（类）支出0.00万元，占一般公共预算财政拨款总支出的0.00%。</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25．债务付息（类）支出0.00万元，占一般公共预算财政拨款总支出的0.00%。</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26．抗疫特别国债安排（类）支出0.00万元，占一般公共预算财政拨款总支出的0.00%。</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黑体" w:eastAsia="黑体" w:hAnsi="黑体" w:cs="黑体" w:hint="eastAsia"/>
          <w:color w:val="auto"/>
          <w:sz w:val="32"/>
          <w:szCs w:val="32"/>
        </w:rPr>
      </w:pPr>
      <w:r>
        <w:rPr>
          <w:rFonts w:ascii="黑体" w:eastAsia="黑体" w:hAnsi="黑体" w:cs="黑体" w:hint="eastAsia"/>
          <w:color w:val="auto"/>
          <w:sz w:val="32"/>
          <w:szCs w:val="32"/>
        </w:rPr>
        <w:t>四、一般公共预算财政拨款“三公”经费支出决算情况说明</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楷体" w:eastAsia="楷体" w:hAnsi="楷体" w:cs="楷体" w:hint="eastAsia"/>
          <w:color w:val="auto"/>
          <w:sz w:val="32"/>
          <w:szCs w:val="32"/>
        </w:rPr>
      </w:pPr>
      <w:r>
        <w:rPr>
          <w:rFonts w:ascii="楷体" w:eastAsia="楷体" w:hAnsi="楷体" w:cs="楷体" w:hint="eastAsia"/>
          <w:color w:val="auto"/>
          <w:sz w:val="32"/>
          <w:szCs w:val="32"/>
        </w:rPr>
        <w:t>（一）一般公共预算财政拨款“三公”经费支出决算总体情况</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澄江市社会保险局2021年度一般公共预算财政拨款“三公”经费支出预算为</w:t>
      </w:r>
      <w:r>
        <w:rPr>
          <w:rFonts w:ascii="仿宋" w:eastAsia="仿宋" w:hAnsi="仿宋" w:cs="仿宋" w:hint="eastAsia"/>
          <w:color w:val="auto"/>
          <w:sz w:val="32"/>
          <w:szCs w:val="32"/>
          <w:lang w:val="en-US" w:eastAsia="zh-CN"/>
        </w:rPr>
        <w:t>0.00</w:t>
      </w:r>
      <w:r>
        <w:rPr>
          <w:rFonts w:ascii="仿宋" w:eastAsia="仿宋" w:hAnsi="仿宋" w:cs="仿宋" w:hint="eastAsia"/>
          <w:color w:val="auto"/>
          <w:sz w:val="32"/>
          <w:szCs w:val="32"/>
        </w:rPr>
        <w:t>万元，支出决算为0.00万元，完成预算的</w:t>
      </w:r>
      <w:r>
        <w:rPr>
          <w:rFonts w:ascii="仿宋" w:eastAsia="仿宋" w:hAnsi="仿宋" w:cs="仿宋" w:hint="eastAsia"/>
          <w:color w:val="auto"/>
          <w:sz w:val="32"/>
          <w:szCs w:val="32"/>
          <w:lang w:val="en-US" w:eastAsia="zh-CN"/>
        </w:rPr>
        <w:t>0.00</w:t>
      </w:r>
      <w:r>
        <w:rPr>
          <w:rFonts w:ascii="仿宋" w:eastAsia="仿宋" w:hAnsi="仿宋" w:cs="仿宋" w:hint="eastAsia"/>
          <w:color w:val="auto"/>
          <w:sz w:val="32"/>
          <w:szCs w:val="32"/>
        </w:rPr>
        <w:t>%。其中：因公出国（境）费支出决算为0.00万元，完成预算的</w:t>
      </w:r>
      <w:r>
        <w:rPr>
          <w:rFonts w:ascii="仿宋" w:eastAsia="仿宋" w:hAnsi="仿宋" w:cs="仿宋" w:hint="eastAsia"/>
          <w:color w:val="auto"/>
          <w:sz w:val="32"/>
          <w:szCs w:val="32"/>
          <w:lang w:val="en-US" w:eastAsia="zh-CN"/>
        </w:rPr>
        <w:t>0.00</w:t>
      </w:r>
      <w:r>
        <w:rPr>
          <w:rFonts w:ascii="仿宋" w:eastAsia="仿宋" w:hAnsi="仿宋" w:cs="仿宋" w:hint="eastAsia"/>
          <w:color w:val="auto"/>
          <w:sz w:val="32"/>
          <w:szCs w:val="32"/>
        </w:rPr>
        <w:t>%；公务用车购置及运行费支出决算为0.00万元，完成预算的</w:t>
      </w:r>
      <w:r>
        <w:rPr>
          <w:rFonts w:ascii="仿宋" w:eastAsia="仿宋" w:hAnsi="仿宋" w:cs="仿宋" w:hint="eastAsia"/>
          <w:color w:val="auto"/>
          <w:sz w:val="32"/>
          <w:szCs w:val="32"/>
          <w:lang w:val="en-US" w:eastAsia="zh-CN"/>
        </w:rPr>
        <w:t>0.00</w:t>
      </w:r>
      <w:r>
        <w:rPr>
          <w:rFonts w:ascii="仿宋" w:eastAsia="仿宋" w:hAnsi="仿宋" w:cs="仿宋" w:hint="eastAsia"/>
          <w:color w:val="auto"/>
          <w:sz w:val="32"/>
          <w:szCs w:val="32"/>
        </w:rPr>
        <w:t>%；公务接待费支出决算为0.00万元，完成预算的</w:t>
      </w:r>
      <w:r>
        <w:rPr>
          <w:rFonts w:ascii="仿宋" w:eastAsia="仿宋" w:hAnsi="仿宋" w:cs="仿宋" w:hint="eastAsia"/>
          <w:color w:val="auto"/>
          <w:sz w:val="32"/>
          <w:szCs w:val="32"/>
          <w:lang w:val="en-US" w:eastAsia="zh-CN"/>
        </w:rPr>
        <w:t>0.00</w:t>
      </w:r>
      <w:r>
        <w:rPr>
          <w:rFonts w:ascii="仿宋" w:eastAsia="仿宋" w:hAnsi="仿宋" w:cs="仿宋" w:hint="eastAsia"/>
          <w:color w:val="auto"/>
          <w:sz w:val="32"/>
          <w:szCs w:val="32"/>
        </w:rPr>
        <w:t>%。</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2021年度一般公共预算财政拨款“三公”经费支出决算数比2020年增加0.00万元，增长0.00%。其中：因公出国（境）费支出决算增加0.00万元，增长0.00%；公务用车购置及运行费支出决算增加0.00万元，增长0.00%；公务接待费支出决算增加0.00万元，增长0.00%。</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楷体" w:eastAsia="楷体" w:hAnsi="楷体" w:cs="楷体" w:hint="eastAsia"/>
          <w:color w:val="auto"/>
          <w:sz w:val="32"/>
          <w:szCs w:val="32"/>
        </w:rPr>
        <w:t>(二)一般公共预算财政拨款“三公”经费支出决算具体情况</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2021年度一般公共预算财政拨款“三公”经费支出决算中，因公出国（境）费支出0.00万元，占0.00%；公务用车购置及运行维护费支出0.00万元，占0.00%；公务接待费支出0.00万元，占0.00%。具体情况如下：</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b/>
          <w:color w:val="auto"/>
          <w:sz w:val="32"/>
          <w:szCs w:val="32"/>
        </w:rPr>
        <w:t>1．因公出国（境）费</w:t>
      </w:r>
      <w:r>
        <w:rPr>
          <w:rFonts w:ascii="仿宋" w:eastAsia="仿宋" w:hAnsi="仿宋" w:cs="仿宋" w:hint="eastAsia"/>
          <w:color w:val="auto"/>
          <w:sz w:val="32"/>
          <w:szCs w:val="32"/>
        </w:rPr>
        <w:t>支出0.00万元，共安排因公出国（境）团组0个，累计0人次。</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b/>
          <w:color w:val="auto"/>
          <w:sz w:val="32"/>
          <w:szCs w:val="32"/>
        </w:rPr>
        <w:t>2．公务用车购置及运行维护费</w:t>
      </w:r>
      <w:r>
        <w:rPr>
          <w:rFonts w:ascii="仿宋" w:eastAsia="仿宋" w:hAnsi="仿宋" w:cs="仿宋" w:hint="eastAsia"/>
          <w:color w:val="auto"/>
          <w:sz w:val="32"/>
          <w:szCs w:val="32"/>
        </w:rPr>
        <w:t>支出0.00万元。其中：</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b/>
          <w:color w:val="auto"/>
          <w:sz w:val="32"/>
          <w:szCs w:val="32"/>
        </w:rPr>
        <w:t>公务用车购置</w:t>
      </w:r>
      <w:r>
        <w:rPr>
          <w:rFonts w:ascii="仿宋" w:eastAsia="仿宋" w:hAnsi="仿宋" w:cs="仿宋" w:hint="eastAsia"/>
          <w:color w:val="auto"/>
          <w:sz w:val="32"/>
          <w:szCs w:val="32"/>
        </w:rPr>
        <w:t>支出0.00万元，购置车辆0辆。</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b/>
          <w:color w:val="auto"/>
          <w:sz w:val="32"/>
          <w:szCs w:val="32"/>
        </w:rPr>
        <w:t>公务用车运行维护</w:t>
      </w:r>
      <w:r>
        <w:rPr>
          <w:rFonts w:ascii="仿宋" w:eastAsia="仿宋" w:hAnsi="仿宋" w:cs="仿宋" w:hint="eastAsia"/>
          <w:color w:val="auto"/>
          <w:sz w:val="32"/>
          <w:szCs w:val="32"/>
        </w:rPr>
        <w:t>支出0.00万元，开支一般公共预算财政拨款的公务用车保有量为0辆。</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b/>
          <w:color w:val="auto"/>
          <w:sz w:val="32"/>
          <w:szCs w:val="32"/>
        </w:rPr>
        <w:t>3．公务接待费</w:t>
      </w:r>
      <w:r>
        <w:rPr>
          <w:rFonts w:ascii="仿宋" w:eastAsia="仿宋" w:hAnsi="仿宋" w:cs="仿宋" w:hint="eastAsia"/>
          <w:color w:val="auto"/>
          <w:sz w:val="32"/>
          <w:szCs w:val="32"/>
        </w:rPr>
        <w:t>支出0.00万元。其中：</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b/>
          <w:color w:val="auto"/>
          <w:sz w:val="32"/>
          <w:szCs w:val="32"/>
        </w:rPr>
        <w:t>国内接待费</w:t>
      </w:r>
      <w:r>
        <w:rPr>
          <w:rFonts w:ascii="仿宋" w:eastAsia="仿宋" w:hAnsi="仿宋" w:cs="仿宋" w:hint="eastAsia"/>
          <w:color w:val="auto"/>
          <w:sz w:val="32"/>
          <w:szCs w:val="32"/>
        </w:rPr>
        <w:t>支出0.00万元（其中：外事接待费支出0.00万元），共安排国内公务接待0批次（其中：外事接待0批次），接待人次0人（其中：外事接待人次0人）。</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b/>
          <w:color w:val="auto"/>
          <w:sz w:val="32"/>
          <w:szCs w:val="32"/>
        </w:rPr>
        <w:t>国（境）外接待费</w:t>
      </w:r>
      <w:r>
        <w:rPr>
          <w:rFonts w:ascii="仿宋" w:eastAsia="仿宋" w:hAnsi="仿宋" w:cs="仿宋" w:hint="eastAsia"/>
          <w:color w:val="auto"/>
          <w:sz w:val="32"/>
          <w:szCs w:val="32"/>
        </w:rPr>
        <w:t>支出0.00万元，共安排国（境）外公务接待0批次，接待人次0人。</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720" w:leftChars="0" w:rightChars="0" w:firstLineChars="200"/>
        <w:jc w:val="center"/>
        <w:textAlignment w:val="auto"/>
        <w:outlineLvl w:val="9"/>
        <w:rPr>
          <w:rFonts w:ascii="黑体" w:eastAsia="黑体" w:hAnsi="黑体" w:cs="黑体" w:hint="eastAsia"/>
          <w:color w:val="auto"/>
          <w:sz w:val="36"/>
          <w:szCs w:val="36"/>
        </w:rPr>
      </w:pPr>
      <w:r>
        <w:rPr>
          <w:rFonts w:ascii="黑体" w:eastAsia="黑体" w:hAnsi="黑体" w:cs="黑体" w:hint="eastAsia"/>
          <w:color w:val="auto"/>
          <w:sz w:val="36"/>
          <w:szCs w:val="36"/>
        </w:rPr>
        <w:t>第四部分  其他重要事项及相关口径情况说明</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黑体" w:eastAsia="黑体" w:hAnsi="黑体" w:cs="黑体" w:hint="eastAsia"/>
          <w:color w:val="auto"/>
          <w:sz w:val="32"/>
          <w:szCs w:val="32"/>
        </w:rPr>
      </w:pPr>
      <w:r>
        <w:rPr>
          <w:rFonts w:ascii="黑体" w:eastAsia="黑体" w:hAnsi="黑体" w:cs="黑体" w:hint="eastAsia"/>
          <w:color w:val="auto"/>
          <w:sz w:val="32"/>
          <w:szCs w:val="32"/>
        </w:rPr>
        <w:t>一、机关运行经费支出情况</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澄江市社会保险局2021年机关运行经费支出41.72万元，与上年对比</w:t>
      </w:r>
      <w:r>
        <w:rPr>
          <w:rFonts w:ascii="仿宋" w:eastAsia="仿宋" w:hAnsi="仿宋" w:cs="仿宋" w:hint="eastAsia"/>
          <w:color w:val="auto"/>
          <w:sz w:val="32"/>
          <w:szCs w:val="32"/>
          <w:lang w:eastAsia="zh-CN"/>
        </w:rPr>
        <w:t>，减少</w:t>
      </w:r>
      <w:r>
        <w:rPr>
          <w:rFonts w:ascii="仿宋" w:eastAsia="仿宋" w:hAnsi="仿宋" w:cs="仿宋" w:hint="eastAsia"/>
          <w:color w:val="auto"/>
          <w:sz w:val="32"/>
          <w:szCs w:val="32"/>
          <w:lang w:val="en-US" w:eastAsia="zh-CN"/>
        </w:rPr>
        <w:t>5.87万元，下降12.33%</w:t>
      </w:r>
      <w:r>
        <w:rPr>
          <w:rFonts w:ascii="仿宋" w:eastAsia="仿宋" w:hAnsi="仿宋" w:cs="仿宋" w:hint="eastAsia"/>
          <w:color w:val="auto"/>
          <w:sz w:val="32"/>
          <w:szCs w:val="32"/>
        </w:rPr>
        <w:t>，主要原因</w:t>
      </w:r>
      <w:r>
        <w:rPr>
          <w:rFonts w:ascii="仿宋" w:eastAsia="仿宋" w:hAnsi="仿宋" w:cs="仿宋" w:hint="eastAsia"/>
          <w:color w:val="auto"/>
          <w:kern w:val="0"/>
          <w:sz w:val="32"/>
          <w:szCs w:val="32"/>
        </w:rPr>
        <w:t>是我单位认真贯彻落实厉行节约和上级有关政策，努力压缩一般性支出，尽力节约行政成本导致</w:t>
      </w:r>
      <w:r>
        <w:rPr>
          <w:rFonts w:ascii="仿宋" w:eastAsia="仿宋" w:hAnsi="仿宋" w:cs="仿宋" w:hint="eastAsia"/>
          <w:color w:val="auto"/>
          <w:sz w:val="32"/>
          <w:szCs w:val="32"/>
        </w:rPr>
        <w:t>。部门机关运行经费主要用于</w:t>
      </w:r>
      <w:r>
        <w:rPr>
          <w:rFonts w:ascii="仿宋" w:eastAsia="仿宋" w:hAnsi="仿宋" w:cs="仿宋" w:hint="eastAsia"/>
          <w:color w:val="auto"/>
          <w:kern w:val="0"/>
          <w:sz w:val="32"/>
          <w:szCs w:val="32"/>
          <w:shd w:val="clear" w:color="auto" w:fill="FFFFFF"/>
        </w:rPr>
        <w:t>办公费</w:t>
      </w:r>
      <w:r>
        <w:rPr>
          <w:rFonts w:ascii="仿宋" w:eastAsia="仿宋" w:hAnsi="仿宋" w:cs="仿宋" w:hint="eastAsia"/>
          <w:color w:val="auto"/>
          <w:kern w:val="0"/>
          <w:sz w:val="32"/>
          <w:szCs w:val="32"/>
          <w:shd w:val="clear" w:color="auto" w:fill="FFFFFF"/>
          <w:lang w:val="en-US" w:eastAsia="zh-CN"/>
        </w:rPr>
        <w:t>8.10</w:t>
      </w:r>
      <w:r>
        <w:rPr>
          <w:rFonts w:ascii="仿宋" w:eastAsia="仿宋" w:hAnsi="仿宋" w:cs="仿宋" w:hint="eastAsia"/>
          <w:color w:val="auto"/>
          <w:kern w:val="0"/>
          <w:sz w:val="32"/>
          <w:szCs w:val="32"/>
          <w:shd w:val="clear" w:color="auto" w:fill="FFFFFF"/>
        </w:rPr>
        <w:t>万元</w:t>
      </w:r>
      <w:r>
        <w:rPr>
          <w:rFonts w:ascii="仿宋" w:eastAsia="仿宋" w:hAnsi="仿宋" w:cs="仿宋" w:hint="eastAsia"/>
          <w:color w:val="auto"/>
          <w:kern w:val="0"/>
          <w:sz w:val="32"/>
          <w:szCs w:val="32"/>
          <w:shd w:val="clear" w:color="auto" w:fill="FFFFFF"/>
          <w:lang w:eastAsia="zh-CN"/>
        </w:rPr>
        <w:t>、</w:t>
      </w:r>
      <w:r>
        <w:rPr>
          <w:rFonts w:ascii="仿宋" w:eastAsia="仿宋" w:hAnsi="仿宋" w:cs="仿宋" w:hint="eastAsia"/>
          <w:color w:val="auto"/>
          <w:kern w:val="0"/>
          <w:sz w:val="32"/>
          <w:szCs w:val="32"/>
          <w:shd w:val="clear" w:color="auto" w:fill="FFFFFF"/>
        </w:rPr>
        <w:t>差旅费</w:t>
      </w:r>
      <w:r>
        <w:rPr>
          <w:rFonts w:ascii="仿宋" w:eastAsia="仿宋" w:hAnsi="仿宋" w:cs="仿宋" w:hint="eastAsia"/>
          <w:color w:val="auto"/>
          <w:kern w:val="0"/>
          <w:sz w:val="32"/>
          <w:szCs w:val="32"/>
          <w:shd w:val="clear" w:color="auto" w:fill="FFFFFF"/>
          <w:lang w:val="en-US" w:eastAsia="zh-CN"/>
        </w:rPr>
        <w:t>2.91</w:t>
      </w:r>
      <w:r>
        <w:rPr>
          <w:rFonts w:ascii="仿宋" w:eastAsia="仿宋" w:hAnsi="仿宋" w:cs="仿宋" w:hint="eastAsia"/>
          <w:color w:val="auto"/>
          <w:kern w:val="0"/>
          <w:sz w:val="32"/>
          <w:szCs w:val="32"/>
          <w:shd w:val="clear" w:color="auto" w:fill="FFFFFF"/>
        </w:rPr>
        <w:t>万元</w:t>
      </w:r>
      <w:r>
        <w:rPr>
          <w:rFonts w:ascii="仿宋" w:eastAsia="仿宋" w:hAnsi="仿宋" w:cs="仿宋" w:hint="eastAsia"/>
          <w:color w:val="auto"/>
          <w:kern w:val="0"/>
          <w:sz w:val="32"/>
          <w:szCs w:val="32"/>
          <w:shd w:val="clear" w:color="auto" w:fill="FFFFFF"/>
          <w:lang w:eastAsia="zh-CN"/>
        </w:rPr>
        <w:t>、培训费</w:t>
      </w:r>
      <w:r>
        <w:rPr>
          <w:rFonts w:ascii="仿宋" w:eastAsia="仿宋" w:hAnsi="仿宋" w:cs="仿宋" w:hint="eastAsia"/>
          <w:color w:val="auto"/>
          <w:kern w:val="0"/>
          <w:sz w:val="32"/>
          <w:szCs w:val="32"/>
          <w:shd w:val="clear" w:color="auto" w:fill="FFFFFF"/>
          <w:lang w:val="en-US" w:eastAsia="zh-CN"/>
        </w:rPr>
        <w:t>2.12万元</w:t>
      </w:r>
      <w:r>
        <w:rPr>
          <w:rFonts w:ascii="仿宋" w:eastAsia="仿宋" w:hAnsi="仿宋" w:cs="仿宋" w:hint="eastAsia"/>
          <w:color w:val="auto"/>
          <w:kern w:val="0"/>
          <w:sz w:val="32"/>
          <w:szCs w:val="32"/>
          <w:shd w:val="clear" w:color="auto" w:fill="FFFFFF"/>
          <w:lang w:eastAsia="zh-CN"/>
        </w:rPr>
        <w:t>、</w:t>
      </w:r>
      <w:r>
        <w:rPr>
          <w:rFonts w:ascii="仿宋" w:eastAsia="仿宋" w:hAnsi="仿宋" w:cs="仿宋" w:hint="eastAsia"/>
          <w:color w:val="auto"/>
          <w:kern w:val="0"/>
          <w:sz w:val="32"/>
          <w:szCs w:val="32"/>
          <w:shd w:val="clear" w:color="auto" w:fill="FFFFFF"/>
        </w:rPr>
        <w:t>工会经费</w:t>
      </w:r>
      <w:r>
        <w:rPr>
          <w:rFonts w:ascii="仿宋" w:eastAsia="仿宋" w:hAnsi="仿宋" w:cs="仿宋" w:hint="eastAsia"/>
          <w:color w:val="auto"/>
          <w:kern w:val="0"/>
          <w:sz w:val="32"/>
          <w:szCs w:val="32"/>
          <w:shd w:val="clear" w:color="auto" w:fill="FFFFFF"/>
          <w:lang w:val="en-US" w:eastAsia="zh-CN"/>
        </w:rPr>
        <w:t>4.30</w:t>
      </w:r>
      <w:r>
        <w:rPr>
          <w:rFonts w:ascii="仿宋" w:eastAsia="仿宋" w:hAnsi="仿宋" w:cs="仿宋" w:hint="eastAsia"/>
          <w:color w:val="auto"/>
          <w:kern w:val="0"/>
          <w:sz w:val="32"/>
          <w:szCs w:val="32"/>
          <w:shd w:val="clear" w:color="auto" w:fill="FFFFFF"/>
        </w:rPr>
        <w:t>万元</w:t>
      </w:r>
      <w:r>
        <w:rPr>
          <w:rFonts w:ascii="仿宋" w:eastAsia="仿宋" w:hAnsi="仿宋" w:cs="仿宋" w:hint="eastAsia"/>
          <w:color w:val="auto"/>
          <w:kern w:val="0"/>
          <w:sz w:val="32"/>
          <w:szCs w:val="32"/>
          <w:shd w:val="clear" w:color="auto" w:fill="FFFFFF"/>
          <w:lang w:eastAsia="zh-CN"/>
        </w:rPr>
        <w:t>、</w:t>
      </w:r>
      <w:r>
        <w:rPr>
          <w:rFonts w:ascii="仿宋" w:eastAsia="仿宋" w:hAnsi="仿宋" w:cs="仿宋" w:hint="eastAsia"/>
          <w:color w:val="auto"/>
          <w:kern w:val="0"/>
          <w:sz w:val="32"/>
          <w:szCs w:val="32"/>
          <w:shd w:val="clear" w:color="auto" w:fill="FFFFFF"/>
        </w:rPr>
        <w:t>福利费</w:t>
      </w:r>
      <w:r>
        <w:rPr>
          <w:rFonts w:ascii="仿宋" w:eastAsia="仿宋" w:hAnsi="仿宋" w:cs="仿宋" w:hint="eastAsia"/>
          <w:color w:val="auto"/>
          <w:kern w:val="0"/>
          <w:sz w:val="32"/>
          <w:szCs w:val="32"/>
          <w:shd w:val="clear" w:color="auto" w:fill="FFFFFF"/>
          <w:lang w:val="en-US" w:eastAsia="zh-CN"/>
        </w:rPr>
        <w:t>5.37</w:t>
      </w:r>
      <w:r>
        <w:rPr>
          <w:rFonts w:ascii="仿宋" w:eastAsia="仿宋" w:hAnsi="仿宋" w:cs="仿宋" w:hint="eastAsia"/>
          <w:color w:val="auto"/>
          <w:kern w:val="0"/>
          <w:sz w:val="32"/>
          <w:szCs w:val="32"/>
          <w:shd w:val="clear" w:color="auto" w:fill="FFFFFF"/>
        </w:rPr>
        <w:t>万元</w:t>
      </w:r>
      <w:r>
        <w:rPr>
          <w:rFonts w:ascii="仿宋" w:eastAsia="仿宋" w:hAnsi="仿宋" w:cs="仿宋" w:hint="eastAsia"/>
          <w:color w:val="auto"/>
          <w:kern w:val="0"/>
          <w:sz w:val="32"/>
          <w:szCs w:val="32"/>
          <w:shd w:val="clear" w:color="auto" w:fill="FFFFFF"/>
          <w:lang w:eastAsia="zh-CN"/>
        </w:rPr>
        <w:t>、</w:t>
      </w:r>
      <w:r>
        <w:rPr>
          <w:rFonts w:ascii="仿宋" w:eastAsia="仿宋" w:hAnsi="仿宋" w:cs="仿宋" w:hint="eastAsia"/>
          <w:color w:val="auto"/>
          <w:kern w:val="0"/>
          <w:sz w:val="32"/>
          <w:szCs w:val="32"/>
          <w:shd w:val="clear" w:color="auto" w:fill="FFFFFF"/>
        </w:rPr>
        <w:t>其他交通费用</w:t>
      </w:r>
      <w:r>
        <w:rPr>
          <w:rFonts w:ascii="仿宋" w:eastAsia="仿宋" w:hAnsi="仿宋" w:cs="仿宋" w:hint="eastAsia"/>
          <w:color w:val="auto"/>
          <w:kern w:val="0"/>
          <w:sz w:val="32"/>
          <w:szCs w:val="32"/>
          <w:shd w:val="clear" w:color="auto" w:fill="FFFFFF"/>
          <w:lang w:val="en-US" w:eastAsia="zh-CN"/>
        </w:rPr>
        <w:t>18.92</w:t>
      </w:r>
      <w:r>
        <w:rPr>
          <w:rFonts w:ascii="仿宋" w:eastAsia="仿宋" w:hAnsi="仿宋" w:cs="仿宋" w:hint="eastAsia"/>
          <w:color w:val="auto"/>
          <w:kern w:val="0"/>
          <w:sz w:val="32"/>
          <w:szCs w:val="32"/>
          <w:shd w:val="clear" w:color="auto" w:fill="FFFFFF"/>
        </w:rPr>
        <w:t>万元</w:t>
      </w:r>
      <w:r>
        <w:rPr>
          <w:rFonts w:ascii="仿宋" w:eastAsia="仿宋" w:hAnsi="仿宋" w:cs="仿宋" w:hint="eastAsia"/>
          <w:color w:val="auto"/>
          <w:sz w:val="32"/>
          <w:szCs w:val="32"/>
        </w:rPr>
        <w:t>。</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黑体" w:eastAsia="黑体" w:hAnsi="黑体" w:cs="黑体" w:hint="eastAsia"/>
          <w:color w:val="auto"/>
          <w:sz w:val="32"/>
          <w:szCs w:val="32"/>
        </w:rPr>
      </w:pPr>
      <w:r>
        <w:rPr>
          <w:rFonts w:ascii="黑体" w:eastAsia="黑体" w:hAnsi="黑体" w:cs="黑体" w:hint="eastAsia"/>
          <w:color w:val="auto"/>
          <w:sz w:val="32"/>
          <w:szCs w:val="32"/>
        </w:rPr>
        <w:t>二、国有资产占用情况</w:t>
      </w:r>
    </w:p>
    <w:p>
      <w:pPr>
        <w:keepNext w:val="0"/>
        <w:keepLines w:val="0"/>
        <w:pageBreakBefore w:val="0"/>
        <w:widowControl/>
        <w:suppressLineNumbers w:val="0"/>
        <w:kinsoku/>
        <w:wordWrap/>
        <w:overflowPunct/>
        <w:topLinePunct/>
        <w:bidi w:val="0"/>
        <w:adjustRightIn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highlight w:val="none"/>
        </w:rPr>
      </w:pPr>
      <w:r>
        <w:rPr>
          <w:rFonts w:ascii="仿宋" w:eastAsia="仿宋" w:hAnsi="仿宋" w:cs="仿宋" w:hint="eastAsia"/>
          <w:color w:val="auto"/>
          <w:sz w:val="32"/>
          <w:szCs w:val="32"/>
          <w:highlight w:val="none"/>
        </w:rPr>
        <w:t>截至2021年12月31日，澄江市社会保险局资产总额</w:t>
      </w:r>
      <w:r>
        <w:rPr>
          <w:rFonts w:ascii="仿宋" w:eastAsia="仿宋" w:hAnsi="仿宋" w:cs="仿宋" w:hint="eastAsia"/>
          <w:color w:val="auto"/>
          <w:sz w:val="32"/>
          <w:szCs w:val="32"/>
          <w:highlight w:val="none"/>
          <w:lang w:val="en-US" w:eastAsia="zh-CN"/>
        </w:rPr>
        <w:t>106.71</w:t>
      </w:r>
      <w:r>
        <w:rPr>
          <w:rFonts w:ascii="仿宋" w:eastAsia="仿宋" w:hAnsi="仿宋" w:cs="仿宋" w:hint="eastAsia"/>
          <w:color w:val="auto"/>
          <w:sz w:val="32"/>
          <w:szCs w:val="32"/>
          <w:highlight w:val="none"/>
        </w:rPr>
        <w:t>万元，其中，流动资产</w:t>
      </w:r>
      <w:r>
        <w:rPr>
          <w:rFonts w:ascii="仿宋" w:eastAsia="仿宋" w:hAnsi="仿宋" w:cs="仿宋" w:hint="eastAsia"/>
          <w:color w:val="auto"/>
          <w:sz w:val="32"/>
          <w:szCs w:val="32"/>
          <w:highlight w:val="none"/>
          <w:lang w:val="en-US" w:eastAsia="zh-CN"/>
        </w:rPr>
        <w:t>71.80</w:t>
      </w:r>
      <w:r>
        <w:rPr>
          <w:rFonts w:ascii="仿宋" w:eastAsia="仿宋" w:hAnsi="仿宋" w:cs="仿宋" w:hint="eastAsia"/>
          <w:color w:val="auto"/>
          <w:sz w:val="32"/>
          <w:szCs w:val="32"/>
          <w:highlight w:val="none"/>
        </w:rPr>
        <w:t>万元，固定资产</w:t>
      </w:r>
      <w:r>
        <w:rPr>
          <w:rFonts w:ascii="仿宋" w:eastAsia="仿宋" w:hAnsi="仿宋" w:cs="仿宋" w:hint="eastAsia"/>
          <w:color w:val="auto"/>
          <w:sz w:val="32"/>
          <w:szCs w:val="32"/>
          <w:highlight w:val="none"/>
          <w:lang w:val="en-US" w:eastAsia="zh-CN"/>
        </w:rPr>
        <w:t>34.91</w:t>
      </w:r>
      <w:r>
        <w:rPr>
          <w:rFonts w:ascii="仿宋" w:eastAsia="仿宋" w:hAnsi="仿宋" w:cs="仿宋" w:hint="eastAsia"/>
          <w:color w:val="auto"/>
          <w:sz w:val="32"/>
          <w:szCs w:val="32"/>
          <w:highlight w:val="none"/>
        </w:rPr>
        <w:t>万元，对外投资及有价证券</w:t>
      </w:r>
      <w:r>
        <w:rPr>
          <w:rFonts w:ascii="仿宋" w:eastAsia="仿宋" w:hAnsi="仿宋" w:cs="仿宋" w:hint="eastAsia"/>
          <w:color w:val="auto"/>
          <w:sz w:val="32"/>
          <w:szCs w:val="32"/>
          <w:highlight w:val="none"/>
          <w:lang w:val="en-US" w:eastAsia="zh-CN"/>
        </w:rPr>
        <w:t>0.00</w:t>
      </w:r>
      <w:r>
        <w:rPr>
          <w:rFonts w:ascii="仿宋" w:eastAsia="仿宋" w:hAnsi="仿宋" w:cs="仿宋" w:hint="eastAsia"/>
          <w:color w:val="auto"/>
          <w:sz w:val="32"/>
          <w:szCs w:val="32"/>
          <w:highlight w:val="none"/>
        </w:rPr>
        <w:t>万元，在建工程</w:t>
      </w:r>
      <w:r>
        <w:rPr>
          <w:rFonts w:ascii="仿宋" w:eastAsia="仿宋" w:hAnsi="仿宋" w:cs="仿宋" w:hint="eastAsia"/>
          <w:color w:val="auto"/>
          <w:sz w:val="32"/>
          <w:szCs w:val="32"/>
          <w:highlight w:val="none"/>
          <w:lang w:val="en-US" w:eastAsia="zh-CN"/>
        </w:rPr>
        <w:t>0.00</w:t>
      </w:r>
      <w:r>
        <w:rPr>
          <w:rFonts w:ascii="仿宋" w:eastAsia="仿宋" w:hAnsi="仿宋" w:cs="仿宋" w:hint="eastAsia"/>
          <w:color w:val="auto"/>
          <w:sz w:val="32"/>
          <w:szCs w:val="32"/>
          <w:highlight w:val="none"/>
        </w:rPr>
        <w:t>万元，无形资产</w:t>
      </w:r>
      <w:r>
        <w:rPr>
          <w:rFonts w:ascii="仿宋" w:eastAsia="仿宋" w:hAnsi="仿宋" w:cs="仿宋" w:hint="eastAsia"/>
          <w:color w:val="auto"/>
          <w:sz w:val="32"/>
          <w:szCs w:val="32"/>
          <w:highlight w:val="none"/>
          <w:lang w:val="en-US" w:eastAsia="zh-CN"/>
        </w:rPr>
        <w:t>0.00</w:t>
      </w:r>
      <w:r>
        <w:rPr>
          <w:rFonts w:ascii="仿宋" w:eastAsia="仿宋" w:hAnsi="仿宋" w:cs="仿宋" w:hint="eastAsia"/>
          <w:color w:val="auto"/>
          <w:sz w:val="32"/>
          <w:szCs w:val="32"/>
          <w:highlight w:val="none"/>
        </w:rPr>
        <w:t>万元，其他资产</w:t>
      </w:r>
      <w:r>
        <w:rPr>
          <w:rFonts w:ascii="仿宋" w:eastAsia="仿宋" w:hAnsi="仿宋" w:cs="仿宋" w:hint="eastAsia"/>
          <w:color w:val="auto"/>
          <w:sz w:val="32"/>
          <w:szCs w:val="32"/>
          <w:highlight w:val="none"/>
          <w:lang w:val="en-US" w:eastAsia="zh-CN"/>
        </w:rPr>
        <w:t>0.00</w:t>
      </w:r>
      <w:r>
        <w:rPr>
          <w:rFonts w:ascii="仿宋" w:eastAsia="仿宋" w:hAnsi="仿宋" w:cs="仿宋" w:hint="eastAsia"/>
          <w:color w:val="auto"/>
          <w:sz w:val="32"/>
          <w:szCs w:val="32"/>
          <w:highlight w:val="none"/>
        </w:rPr>
        <w:t>万元（具体内容详见附表）。与上年相比，本年资产总额增加</w:t>
      </w:r>
      <w:r>
        <w:rPr>
          <w:rFonts w:ascii="仿宋" w:eastAsia="仿宋" w:hAnsi="仿宋" w:cs="仿宋" w:hint="eastAsia"/>
          <w:color w:val="auto"/>
          <w:sz w:val="32"/>
          <w:szCs w:val="32"/>
          <w:highlight w:val="none"/>
          <w:lang w:val="en-US" w:eastAsia="zh-CN"/>
        </w:rPr>
        <w:t>4.36</w:t>
      </w:r>
      <w:r>
        <w:rPr>
          <w:rFonts w:ascii="仿宋" w:eastAsia="仿宋" w:hAnsi="仿宋" w:cs="仿宋" w:hint="eastAsia"/>
          <w:color w:val="auto"/>
          <w:sz w:val="32"/>
          <w:szCs w:val="32"/>
          <w:highlight w:val="none"/>
        </w:rPr>
        <w:t>万元，其中固定资产</w:t>
      </w:r>
      <w:r>
        <w:rPr>
          <w:rFonts w:ascii="仿宋" w:eastAsia="仿宋" w:hAnsi="仿宋" w:cs="仿宋" w:hint="eastAsia"/>
          <w:color w:val="auto"/>
          <w:sz w:val="32"/>
          <w:szCs w:val="32"/>
          <w:highlight w:val="none"/>
          <w:lang w:eastAsia="zh-CN"/>
        </w:rPr>
        <w:t>增加</w:t>
      </w:r>
      <w:r>
        <w:rPr>
          <w:rFonts w:ascii="仿宋" w:eastAsia="仿宋" w:hAnsi="仿宋" w:cs="仿宋" w:hint="eastAsia"/>
          <w:color w:val="auto"/>
          <w:sz w:val="32"/>
          <w:szCs w:val="32"/>
          <w:highlight w:val="none"/>
          <w:lang w:val="en-US" w:eastAsia="zh-CN"/>
        </w:rPr>
        <w:t>7.94</w:t>
      </w:r>
      <w:r>
        <w:rPr>
          <w:rFonts w:ascii="仿宋" w:eastAsia="仿宋" w:hAnsi="仿宋" w:cs="仿宋" w:hint="eastAsia"/>
          <w:color w:val="auto"/>
          <w:sz w:val="32"/>
          <w:szCs w:val="32"/>
          <w:highlight w:val="none"/>
        </w:rPr>
        <w:t>万元。处置房屋建筑物</w:t>
      </w:r>
      <w:r>
        <w:rPr>
          <w:rFonts w:ascii="仿宋" w:eastAsia="仿宋" w:hAnsi="仿宋" w:cs="仿宋" w:hint="eastAsia"/>
          <w:color w:val="auto"/>
          <w:sz w:val="32"/>
          <w:szCs w:val="32"/>
          <w:highlight w:val="none"/>
          <w:lang w:val="en-US" w:eastAsia="zh-CN"/>
        </w:rPr>
        <w:t>0.00</w:t>
      </w:r>
      <w:r>
        <w:rPr>
          <w:rFonts w:ascii="仿宋" w:eastAsia="仿宋" w:hAnsi="仿宋" w:cs="仿宋" w:hint="eastAsia"/>
          <w:color w:val="auto"/>
          <w:sz w:val="32"/>
          <w:szCs w:val="32"/>
          <w:highlight w:val="none"/>
        </w:rPr>
        <w:t>平方米，账面原值</w:t>
      </w:r>
      <w:r>
        <w:rPr>
          <w:rFonts w:ascii="仿宋" w:eastAsia="仿宋" w:hAnsi="仿宋" w:cs="仿宋" w:hint="eastAsia"/>
          <w:color w:val="auto"/>
          <w:sz w:val="32"/>
          <w:szCs w:val="32"/>
          <w:highlight w:val="none"/>
          <w:lang w:val="en-US" w:eastAsia="zh-CN"/>
        </w:rPr>
        <w:t>0.00</w:t>
      </w:r>
      <w:r>
        <w:rPr>
          <w:rFonts w:ascii="仿宋" w:eastAsia="仿宋" w:hAnsi="仿宋" w:cs="仿宋" w:hint="eastAsia"/>
          <w:color w:val="auto"/>
          <w:sz w:val="32"/>
          <w:szCs w:val="32"/>
          <w:highlight w:val="none"/>
        </w:rPr>
        <w:t>万元；处置车辆</w:t>
      </w:r>
      <w:r>
        <w:rPr>
          <w:rFonts w:ascii="仿宋" w:eastAsia="仿宋" w:hAnsi="仿宋" w:cs="仿宋" w:hint="eastAsia"/>
          <w:color w:val="auto"/>
          <w:sz w:val="32"/>
          <w:szCs w:val="32"/>
          <w:highlight w:val="none"/>
          <w:lang w:val="en-US" w:eastAsia="zh-CN"/>
        </w:rPr>
        <w:t>0</w:t>
      </w:r>
      <w:r>
        <w:rPr>
          <w:rFonts w:ascii="仿宋" w:eastAsia="仿宋" w:hAnsi="仿宋" w:cs="仿宋" w:hint="eastAsia"/>
          <w:color w:val="auto"/>
          <w:sz w:val="32"/>
          <w:szCs w:val="32"/>
          <w:highlight w:val="none"/>
        </w:rPr>
        <w:t>辆，账面原值</w:t>
      </w:r>
      <w:r>
        <w:rPr>
          <w:rFonts w:ascii="仿宋" w:eastAsia="仿宋" w:hAnsi="仿宋" w:cs="仿宋" w:hint="eastAsia"/>
          <w:color w:val="auto"/>
          <w:sz w:val="32"/>
          <w:szCs w:val="32"/>
          <w:highlight w:val="none"/>
          <w:lang w:val="en-US" w:eastAsia="zh-CN"/>
        </w:rPr>
        <w:t>0.00</w:t>
      </w:r>
      <w:r>
        <w:rPr>
          <w:rFonts w:ascii="仿宋" w:eastAsia="仿宋" w:hAnsi="仿宋" w:cs="仿宋" w:hint="eastAsia"/>
          <w:color w:val="auto"/>
          <w:sz w:val="32"/>
          <w:szCs w:val="32"/>
          <w:highlight w:val="none"/>
        </w:rPr>
        <w:t>万元；报废报损资产</w:t>
      </w:r>
      <w:r>
        <w:rPr>
          <w:rFonts w:ascii="仿宋" w:eastAsia="仿宋" w:hAnsi="仿宋" w:cs="仿宋" w:hint="eastAsia"/>
          <w:color w:val="auto"/>
          <w:sz w:val="32"/>
          <w:szCs w:val="32"/>
          <w:highlight w:val="none"/>
          <w:lang w:val="en-US" w:eastAsia="zh-CN"/>
        </w:rPr>
        <w:t>0</w:t>
      </w:r>
      <w:r>
        <w:rPr>
          <w:rFonts w:ascii="仿宋" w:eastAsia="仿宋" w:hAnsi="仿宋" w:cs="仿宋" w:hint="eastAsia"/>
          <w:color w:val="auto"/>
          <w:sz w:val="32"/>
          <w:szCs w:val="32"/>
          <w:highlight w:val="none"/>
        </w:rPr>
        <w:t>项，账面原值</w:t>
      </w:r>
      <w:r>
        <w:rPr>
          <w:rFonts w:ascii="仿宋" w:eastAsia="仿宋" w:hAnsi="仿宋" w:cs="仿宋" w:hint="eastAsia"/>
          <w:color w:val="auto"/>
          <w:sz w:val="32"/>
          <w:szCs w:val="32"/>
          <w:highlight w:val="none"/>
          <w:lang w:val="en-US" w:eastAsia="zh-CN"/>
        </w:rPr>
        <w:t>0.00</w:t>
      </w:r>
      <w:r>
        <w:rPr>
          <w:rFonts w:ascii="仿宋" w:eastAsia="仿宋" w:hAnsi="仿宋" w:cs="仿宋" w:hint="eastAsia"/>
          <w:color w:val="auto"/>
          <w:sz w:val="32"/>
          <w:szCs w:val="32"/>
          <w:highlight w:val="none"/>
        </w:rPr>
        <w:t>万元，实现资产处置收入</w:t>
      </w:r>
      <w:r>
        <w:rPr>
          <w:rFonts w:ascii="仿宋" w:eastAsia="仿宋" w:hAnsi="仿宋" w:cs="仿宋" w:hint="eastAsia"/>
          <w:color w:val="auto"/>
          <w:sz w:val="32"/>
          <w:szCs w:val="32"/>
          <w:highlight w:val="none"/>
          <w:lang w:val="en-US" w:eastAsia="zh-CN"/>
        </w:rPr>
        <w:t>0.00</w:t>
      </w:r>
      <w:r>
        <w:rPr>
          <w:rFonts w:ascii="仿宋" w:eastAsia="仿宋" w:hAnsi="仿宋" w:cs="仿宋" w:hint="eastAsia"/>
          <w:color w:val="auto"/>
          <w:sz w:val="32"/>
          <w:szCs w:val="32"/>
          <w:highlight w:val="none"/>
        </w:rPr>
        <w:t>万元；出租房屋</w:t>
      </w:r>
      <w:r>
        <w:rPr>
          <w:rFonts w:ascii="仿宋" w:eastAsia="仿宋" w:hAnsi="仿宋" w:cs="仿宋" w:hint="eastAsia"/>
          <w:color w:val="auto"/>
          <w:sz w:val="32"/>
          <w:szCs w:val="32"/>
          <w:highlight w:val="none"/>
          <w:shd w:val="clear" w:color="auto" w:fill="FFFFFF"/>
          <w:lang w:val="en-US" w:eastAsia="zh-CN"/>
        </w:rPr>
        <w:t>197.84</w:t>
      </w:r>
      <w:r>
        <w:rPr>
          <w:rFonts w:ascii="仿宋" w:eastAsia="仿宋" w:hAnsi="仿宋" w:cs="仿宋" w:hint="eastAsia"/>
          <w:color w:val="auto"/>
          <w:sz w:val="32"/>
          <w:szCs w:val="32"/>
          <w:highlight w:val="none"/>
        </w:rPr>
        <w:t>平方米，账面原值</w:t>
      </w:r>
      <w:r>
        <w:rPr>
          <w:rFonts w:ascii="仿宋" w:eastAsia="仿宋" w:hAnsi="仿宋" w:cs="仿宋" w:hint="eastAsia"/>
          <w:color w:val="auto"/>
          <w:sz w:val="32"/>
          <w:szCs w:val="32"/>
          <w:highlight w:val="none"/>
          <w:shd w:val="clear" w:color="auto" w:fill="FFFFFF"/>
          <w:lang w:val="en-US" w:eastAsia="zh-CN"/>
        </w:rPr>
        <w:t>7.05</w:t>
      </w:r>
      <w:r>
        <w:rPr>
          <w:rFonts w:ascii="仿宋" w:eastAsia="仿宋" w:hAnsi="仿宋" w:cs="仿宋" w:hint="eastAsia"/>
          <w:color w:val="auto"/>
          <w:sz w:val="32"/>
          <w:szCs w:val="32"/>
          <w:highlight w:val="none"/>
        </w:rPr>
        <w:t>万元，实现资产使用收入</w:t>
      </w:r>
      <w:r>
        <w:rPr>
          <w:rFonts w:ascii="仿宋" w:eastAsia="仿宋" w:hAnsi="仿宋" w:cs="仿宋" w:hint="eastAsia"/>
          <w:color w:val="auto"/>
          <w:sz w:val="32"/>
          <w:szCs w:val="32"/>
          <w:highlight w:val="none"/>
          <w:lang w:val="en-US" w:eastAsia="zh-CN"/>
        </w:rPr>
        <w:t>1.01</w:t>
      </w:r>
      <w:r>
        <w:rPr>
          <w:rFonts w:ascii="仿宋" w:eastAsia="仿宋" w:hAnsi="仿宋" w:cs="仿宋" w:hint="eastAsia"/>
          <w:color w:val="auto"/>
          <w:sz w:val="32"/>
          <w:szCs w:val="32"/>
          <w:highlight w:val="none"/>
        </w:rPr>
        <w:t>万元。</w:t>
      </w:r>
    </w:p>
    <w:tbl>
      <w:tblPr>
        <w:tblStyle w:val="TableNormal"/>
        <w:tblW w:w="9439" w:type="dxa"/>
        <w:jc w:val="center"/>
        <w:tblInd w:w="0" w:type="dxa"/>
        <w:tblLayout w:type="fixed"/>
        <w:tblCellMar>
          <w:top w:w="0" w:type="dxa"/>
          <w:left w:w="0" w:type="dxa"/>
          <w:bottom w:w="0" w:type="dxa"/>
          <w:right w:w="0" w:type="dxa"/>
        </w:tblCellMar>
      </w:tblPr>
      <w:tblGrid>
        <w:gridCol w:w="646"/>
        <w:gridCol w:w="81"/>
        <w:gridCol w:w="339"/>
        <w:gridCol w:w="150"/>
        <w:gridCol w:w="705"/>
        <w:gridCol w:w="775"/>
        <w:gridCol w:w="739"/>
        <w:gridCol w:w="740"/>
        <w:gridCol w:w="739"/>
        <w:gridCol w:w="822"/>
        <w:gridCol w:w="740"/>
        <w:gridCol w:w="740"/>
        <w:gridCol w:w="740"/>
        <w:gridCol w:w="740"/>
        <w:gridCol w:w="743"/>
      </w:tblGrid>
      <w:tr>
        <w:tblPrEx>
          <w:tblW w:w="9439" w:type="dxa"/>
          <w:jc w:val="center"/>
          <w:tblInd w:w="0" w:type="dxa"/>
          <w:tblLayout w:type="fixed"/>
          <w:tblCellMar>
            <w:top w:w="0" w:type="dxa"/>
            <w:left w:w="0" w:type="dxa"/>
            <w:bottom w:w="0" w:type="dxa"/>
            <w:right w:w="0" w:type="dxa"/>
          </w:tblCellMar>
        </w:tblPrEx>
        <w:trPr>
          <w:trHeight w:val="390"/>
          <w:jc w:val="center"/>
        </w:trPr>
        <w:tc>
          <w:tcPr>
            <w:tcW w:w="9439" w:type="dxa"/>
            <w:gridSpan w:val="15"/>
            <w:shd w:val="clear" w:color="auto" w:fill="FFFFFF"/>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ascii="仿宋_GB2312" w:eastAsia="仿宋_GB2312" w:cs="仿宋_GB2312"/>
                <w:b/>
                <w:color w:val="auto"/>
                <w:sz w:val="30"/>
                <w:szCs w:val="30"/>
                <w:highlight w:val="none"/>
              </w:rPr>
              <w:t>国有资产占有使用情况表</w:t>
            </w:r>
          </w:p>
        </w:tc>
      </w:tr>
      <w:tr>
        <w:tblPrEx>
          <w:tblW w:w="9439" w:type="dxa"/>
          <w:jc w:val="center"/>
          <w:tblInd w:w="0" w:type="dxa"/>
          <w:tblLayout w:type="fixed"/>
          <w:tblCellMar>
            <w:top w:w="0" w:type="dxa"/>
            <w:left w:w="0" w:type="dxa"/>
            <w:bottom w:w="0" w:type="dxa"/>
            <w:right w:w="0" w:type="dxa"/>
          </w:tblCellMar>
        </w:tblPrEx>
        <w:trPr>
          <w:trHeight w:val="270"/>
          <w:jc w:val="center"/>
        </w:trPr>
        <w:tc>
          <w:tcPr>
            <w:tcW w:w="5736" w:type="dxa"/>
            <w:gridSpan w:val="10"/>
            <w:shd w:val="clear" w:color="auto" w:fill="FFFFFF"/>
            <w:tcMar>
              <w:left w:w="108" w:type="dxa"/>
              <w:right w:w="108" w:type="dxa"/>
            </w:tcMar>
            <w:vAlign w:val="center"/>
          </w:tcPr>
          <w:p>
            <w:pPr>
              <w:keepNext w:val="0"/>
              <w:keepLines w:val="0"/>
              <w:widowControl/>
              <w:suppressLineNumbers w:val="0"/>
              <w:spacing w:before="100" w:beforeAutospacing="1" w:after="100" w:afterAutospacing="1"/>
              <w:ind w:left="0" w:right="0"/>
              <w:jc w:val="left"/>
              <w:rPr>
                <w:color w:val="auto"/>
                <w:highlight w:val="none"/>
              </w:rPr>
            </w:pPr>
            <w:r>
              <w:rPr>
                <w:rFonts w:ascii="宋体" w:eastAsia="宋体" w:hAnsi="宋体" w:cs="宋体" w:hint="eastAsia"/>
                <w:color w:val="auto"/>
                <w:sz w:val="20"/>
                <w:szCs w:val="20"/>
                <w:highlight w:val="none"/>
                <w:lang w:val="en-US"/>
              </w:rPr>
              <w:t> </w:t>
            </w:r>
          </w:p>
        </w:tc>
        <w:tc>
          <w:tcPr>
            <w:tcW w:w="740" w:type="dxa"/>
            <w:shd w:val="clear" w:color="auto" w:fill="FFFFFF"/>
            <w:tcMar>
              <w:left w:w="108" w:type="dxa"/>
              <w:right w:w="108" w:type="dxa"/>
            </w:tcMar>
            <w:vAlign w:val="center"/>
          </w:tcPr>
          <w:p>
            <w:pPr>
              <w:keepNext w:val="0"/>
              <w:keepLines w:val="0"/>
              <w:widowControl/>
              <w:suppressLineNumbers w:val="0"/>
              <w:spacing w:before="100" w:beforeAutospacing="1" w:after="100" w:afterAutospacing="1"/>
              <w:ind w:left="0" w:right="0"/>
              <w:jc w:val="left"/>
              <w:rPr>
                <w:color w:val="auto"/>
                <w:highlight w:val="none"/>
              </w:rPr>
            </w:pPr>
            <w:r>
              <w:rPr>
                <w:rFonts w:ascii="宋体" w:eastAsia="宋体" w:hAnsi="宋体" w:cs="宋体" w:hint="eastAsia"/>
                <w:color w:val="auto"/>
                <w:sz w:val="20"/>
                <w:szCs w:val="20"/>
                <w:highlight w:val="none"/>
              </w:rPr>
              <w:t>　</w:t>
            </w:r>
          </w:p>
        </w:tc>
        <w:tc>
          <w:tcPr>
            <w:tcW w:w="2963" w:type="dxa"/>
            <w:gridSpan w:val="4"/>
            <w:tcBorders>
              <w:top w:val="nil"/>
              <w:left w:val="nil"/>
              <w:bottom w:val="single" w:sz="8" w:space="0" w:color="auto"/>
              <w:right w:val="nil"/>
            </w:tcBorders>
            <w:shd w:val="clear" w:color="auto" w:fill="FFFFFF"/>
            <w:tcMar>
              <w:left w:w="108" w:type="dxa"/>
              <w:right w:w="108" w:type="dxa"/>
            </w:tcMar>
            <w:vAlign w:val="center"/>
          </w:tcPr>
          <w:p>
            <w:pPr>
              <w:keepNext w:val="0"/>
              <w:keepLines w:val="0"/>
              <w:widowControl/>
              <w:suppressLineNumbers w:val="0"/>
              <w:spacing w:before="100" w:beforeAutospacing="1" w:after="100" w:afterAutospacing="1"/>
              <w:ind w:left="0" w:right="0"/>
              <w:jc w:val="right"/>
              <w:rPr>
                <w:color w:val="auto"/>
                <w:highlight w:val="none"/>
              </w:rPr>
            </w:pPr>
            <w:r>
              <w:rPr>
                <w:rFonts w:ascii="宋体" w:eastAsia="宋体" w:hAnsi="宋体" w:cs="宋体" w:hint="eastAsia"/>
                <w:color w:val="auto"/>
                <w:sz w:val="20"/>
                <w:szCs w:val="20"/>
                <w:highlight w:val="none"/>
              </w:rPr>
              <w:t>单位：万元</w:t>
            </w:r>
          </w:p>
        </w:tc>
      </w:tr>
      <w:tr>
        <w:tblPrEx>
          <w:tblW w:w="9439" w:type="dxa"/>
          <w:jc w:val="center"/>
          <w:tblInd w:w="0" w:type="dxa"/>
          <w:tblLayout w:type="fixed"/>
          <w:tblCellMar>
            <w:top w:w="0" w:type="dxa"/>
            <w:left w:w="0" w:type="dxa"/>
            <w:bottom w:w="0" w:type="dxa"/>
            <w:right w:w="0" w:type="dxa"/>
          </w:tblCellMar>
        </w:tblPrEx>
        <w:trPr>
          <w:trHeight w:val="270"/>
          <w:jc w:val="center"/>
        </w:trPr>
        <w:tc>
          <w:tcPr>
            <w:tcW w:w="646"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ascii="宋体" w:eastAsia="宋体" w:hAnsi="宋体" w:cs="宋体" w:hint="eastAsia"/>
                <w:color w:val="auto"/>
                <w:sz w:val="20"/>
                <w:szCs w:val="20"/>
                <w:highlight w:val="none"/>
              </w:rPr>
              <w:t>项目</w:t>
            </w:r>
          </w:p>
        </w:tc>
        <w:tc>
          <w:tcPr>
            <w:tcW w:w="420" w:type="dxa"/>
            <w:gridSpan w:val="2"/>
            <w:vMerge w:val="restart"/>
            <w:tcBorders>
              <w:top w:val="single" w:sz="8" w:space="0" w:color="auto"/>
              <w:left w:val="nil"/>
              <w:bottom w:val="single" w:sz="8" w:space="0" w:color="auto"/>
              <w:right w:val="single" w:sz="8" w:space="0" w:color="auto"/>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ascii="宋体" w:eastAsia="宋体" w:hAnsi="宋体" w:cs="宋体" w:hint="eastAsia"/>
                <w:color w:val="auto"/>
                <w:sz w:val="20"/>
                <w:szCs w:val="20"/>
                <w:highlight w:val="none"/>
              </w:rPr>
              <w:t>行次</w:t>
            </w:r>
          </w:p>
        </w:tc>
        <w:tc>
          <w:tcPr>
            <w:tcW w:w="855" w:type="dxa"/>
            <w:gridSpan w:val="2"/>
            <w:vMerge w:val="restart"/>
            <w:tcBorders>
              <w:top w:val="single" w:sz="8" w:space="0" w:color="auto"/>
              <w:left w:val="nil"/>
              <w:bottom w:val="single" w:sz="8" w:space="0" w:color="auto"/>
              <w:right w:val="single" w:sz="8" w:space="0" w:color="auto"/>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ascii="宋体" w:eastAsia="宋体" w:hAnsi="宋体" w:cs="宋体" w:hint="eastAsia"/>
                <w:color w:val="auto"/>
                <w:sz w:val="20"/>
                <w:szCs w:val="20"/>
                <w:highlight w:val="none"/>
              </w:rPr>
              <w:t>资产总额</w:t>
            </w:r>
          </w:p>
        </w:tc>
        <w:tc>
          <w:tcPr>
            <w:tcW w:w="775" w:type="dxa"/>
            <w:vMerge w:val="restart"/>
            <w:tcBorders>
              <w:top w:val="single" w:sz="8" w:space="0" w:color="auto"/>
              <w:left w:val="nil"/>
              <w:bottom w:val="single" w:sz="8" w:space="0" w:color="auto"/>
              <w:right w:val="single" w:sz="8" w:space="0" w:color="auto"/>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ascii="宋体" w:eastAsia="宋体" w:hAnsi="宋体" w:cs="宋体" w:hint="eastAsia"/>
                <w:color w:val="auto"/>
                <w:sz w:val="20"/>
                <w:szCs w:val="20"/>
                <w:highlight w:val="none"/>
              </w:rPr>
              <w:t>流动资产</w:t>
            </w:r>
          </w:p>
        </w:tc>
        <w:tc>
          <w:tcPr>
            <w:tcW w:w="3780" w:type="dxa"/>
            <w:gridSpan w:val="5"/>
            <w:tcBorders>
              <w:top w:val="single" w:sz="8" w:space="0" w:color="auto"/>
              <w:left w:val="nil"/>
              <w:bottom w:val="single" w:sz="8" w:space="0" w:color="auto"/>
              <w:right w:val="single" w:sz="8" w:space="0" w:color="auto"/>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ascii="宋体" w:eastAsia="宋体" w:hAnsi="宋体" w:cs="宋体" w:hint="eastAsia"/>
                <w:color w:val="auto"/>
                <w:sz w:val="20"/>
                <w:szCs w:val="20"/>
                <w:highlight w:val="none"/>
              </w:rPr>
              <w:t>固定资产</w:t>
            </w:r>
          </w:p>
        </w:tc>
        <w:tc>
          <w:tcPr>
            <w:tcW w:w="740" w:type="dxa"/>
            <w:vMerge w:val="restart"/>
            <w:tcBorders>
              <w:top w:val="nil"/>
              <w:left w:val="nil"/>
              <w:bottom w:val="single" w:sz="8" w:space="0" w:color="auto"/>
              <w:right w:val="single" w:sz="8" w:space="0" w:color="auto"/>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ascii="宋体" w:eastAsia="宋体" w:hAnsi="宋体" w:cs="宋体" w:hint="eastAsia"/>
                <w:color w:val="auto"/>
                <w:sz w:val="20"/>
                <w:szCs w:val="20"/>
                <w:highlight w:val="none"/>
              </w:rPr>
              <w:t>对外投资</w:t>
            </w:r>
            <w:r>
              <w:rPr>
                <w:rFonts w:ascii="宋体" w:eastAsia="宋体" w:hAnsi="宋体" w:cs="宋体" w:hint="eastAsia"/>
                <w:color w:val="auto"/>
                <w:sz w:val="20"/>
                <w:szCs w:val="20"/>
                <w:highlight w:val="none"/>
                <w:lang w:val="en-US"/>
              </w:rPr>
              <w:t>/</w:t>
            </w:r>
            <w:r>
              <w:rPr>
                <w:rFonts w:ascii="宋体" w:eastAsia="宋体" w:hAnsi="宋体" w:cs="宋体" w:hint="eastAsia"/>
                <w:color w:val="auto"/>
                <w:sz w:val="20"/>
                <w:szCs w:val="20"/>
                <w:highlight w:val="none"/>
              </w:rPr>
              <w:t>有价证券</w:t>
            </w:r>
          </w:p>
        </w:tc>
        <w:tc>
          <w:tcPr>
            <w:tcW w:w="740" w:type="dxa"/>
            <w:vMerge w:val="restart"/>
            <w:tcBorders>
              <w:top w:val="nil"/>
              <w:left w:val="nil"/>
              <w:bottom w:val="single" w:sz="8" w:space="0" w:color="auto"/>
              <w:right w:val="single" w:sz="8" w:space="0" w:color="auto"/>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ascii="宋体" w:eastAsia="宋体" w:hAnsi="宋体" w:cs="宋体" w:hint="eastAsia"/>
                <w:color w:val="auto"/>
                <w:sz w:val="20"/>
                <w:szCs w:val="20"/>
                <w:highlight w:val="none"/>
              </w:rPr>
              <w:t>在建工程</w:t>
            </w:r>
          </w:p>
        </w:tc>
        <w:tc>
          <w:tcPr>
            <w:tcW w:w="740" w:type="dxa"/>
            <w:vMerge w:val="restart"/>
            <w:tcBorders>
              <w:top w:val="nil"/>
              <w:left w:val="nil"/>
              <w:bottom w:val="single" w:sz="8" w:space="0" w:color="auto"/>
              <w:right w:val="single" w:sz="8" w:space="0" w:color="auto"/>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ascii="宋体" w:eastAsia="宋体" w:hAnsi="宋体" w:cs="宋体" w:hint="eastAsia"/>
                <w:color w:val="auto"/>
                <w:sz w:val="20"/>
                <w:szCs w:val="20"/>
                <w:highlight w:val="none"/>
              </w:rPr>
              <w:t>无形资产</w:t>
            </w:r>
          </w:p>
        </w:tc>
        <w:tc>
          <w:tcPr>
            <w:tcW w:w="743" w:type="dxa"/>
            <w:vMerge w:val="restart"/>
            <w:tcBorders>
              <w:top w:val="nil"/>
              <w:left w:val="nil"/>
              <w:bottom w:val="single" w:sz="8" w:space="0" w:color="auto"/>
              <w:right w:val="single" w:sz="8" w:space="0" w:color="auto"/>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ascii="宋体" w:eastAsia="宋体" w:hAnsi="宋体" w:cs="宋体" w:hint="eastAsia"/>
                <w:color w:val="auto"/>
                <w:sz w:val="20"/>
                <w:szCs w:val="20"/>
                <w:highlight w:val="none"/>
              </w:rPr>
              <w:t>其他资产</w:t>
            </w:r>
          </w:p>
        </w:tc>
      </w:tr>
      <w:tr>
        <w:tblPrEx>
          <w:tblW w:w="9439" w:type="dxa"/>
          <w:jc w:val="center"/>
          <w:tblInd w:w="0" w:type="dxa"/>
          <w:tblLayout w:type="fixed"/>
          <w:tblCellMar>
            <w:top w:w="0" w:type="dxa"/>
            <w:left w:w="0" w:type="dxa"/>
            <w:bottom w:w="0" w:type="dxa"/>
            <w:right w:w="0" w:type="dxa"/>
          </w:tblCellMar>
        </w:tblPrEx>
        <w:trPr>
          <w:trHeight w:val="270"/>
          <w:jc w:val="center"/>
        </w:trPr>
        <w:tc>
          <w:tcPr>
            <w:tcW w:w="646"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pPr>
              <w:rPr>
                <w:rFonts w:ascii="宋体" w:hint="eastAsia"/>
                <w:color w:val="auto"/>
                <w:sz w:val="24"/>
                <w:szCs w:val="24"/>
                <w:highlight w:val="none"/>
              </w:rPr>
            </w:pPr>
          </w:p>
        </w:tc>
        <w:tc>
          <w:tcPr>
            <w:tcW w:w="420" w:type="dxa"/>
            <w:gridSpan w:val="2"/>
            <w:vMerge/>
            <w:tcBorders>
              <w:top w:val="single" w:sz="8" w:space="0" w:color="auto"/>
              <w:left w:val="nil"/>
              <w:bottom w:val="single" w:sz="8" w:space="0" w:color="auto"/>
              <w:right w:val="single" w:sz="8" w:space="0" w:color="auto"/>
            </w:tcBorders>
            <w:tcMar>
              <w:left w:w="108" w:type="dxa"/>
              <w:right w:w="108" w:type="dxa"/>
            </w:tcMar>
            <w:vAlign w:val="center"/>
          </w:tcPr>
          <w:p>
            <w:pPr>
              <w:rPr>
                <w:rFonts w:ascii="宋体" w:hint="eastAsia"/>
                <w:color w:val="auto"/>
                <w:sz w:val="24"/>
                <w:szCs w:val="24"/>
                <w:highlight w:val="none"/>
              </w:rPr>
            </w:pPr>
          </w:p>
        </w:tc>
        <w:tc>
          <w:tcPr>
            <w:tcW w:w="855" w:type="dxa"/>
            <w:gridSpan w:val="2"/>
            <w:vMerge/>
            <w:tcBorders>
              <w:top w:val="single" w:sz="8" w:space="0" w:color="auto"/>
              <w:left w:val="nil"/>
              <w:bottom w:val="single" w:sz="8" w:space="0" w:color="auto"/>
              <w:right w:val="single" w:sz="8" w:space="0" w:color="auto"/>
            </w:tcBorders>
            <w:tcMar>
              <w:left w:w="108" w:type="dxa"/>
              <w:right w:w="108" w:type="dxa"/>
            </w:tcMar>
            <w:vAlign w:val="center"/>
          </w:tcPr>
          <w:p>
            <w:pPr>
              <w:rPr>
                <w:rFonts w:ascii="宋体" w:hint="eastAsia"/>
                <w:color w:val="auto"/>
                <w:sz w:val="24"/>
                <w:szCs w:val="24"/>
                <w:highlight w:val="none"/>
              </w:rPr>
            </w:pPr>
          </w:p>
        </w:tc>
        <w:tc>
          <w:tcPr>
            <w:tcW w:w="775" w:type="dxa"/>
            <w:vMerge/>
            <w:tcBorders>
              <w:top w:val="single" w:sz="8" w:space="0" w:color="auto"/>
              <w:left w:val="nil"/>
              <w:bottom w:val="single" w:sz="8" w:space="0" w:color="auto"/>
              <w:right w:val="single" w:sz="8" w:space="0" w:color="auto"/>
            </w:tcBorders>
            <w:tcMar>
              <w:left w:w="108" w:type="dxa"/>
              <w:right w:w="108" w:type="dxa"/>
            </w:tcMar>
            <w:vAlign w:val="center"/>
          </w:tcPr>
          <w:p>
            <w:pPr>
              <w:rPr>
                <w:rFonts w:ascii="宋体" w:hint="eastAsia"/>
                <w:color w:val="auto"/>
                <w:sz w:val="24"/>
                <w:szCs w:val="24"/>
                <w:highlight w:val="none"/>
              </w:rPr>
            </w:pPr>
          </w:p>
        </w:tc>
        <w:tc>
          <w:tcPr>
            <w:tcW w:w="739" w:type="dxa"/>
            <w:vMerge w:val="restart"/>
            <w:tcBorders>
              <w:top w:val="nil"/>
              <w:left w:val="nil"/>
              <w:bottom w:val="single" w:sz="8" w:space="0" w:color="auto"/>
              <w:right w:val="single" w:sz="8" w:space="0" w:color="auto"/>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ascii="宋体" w:eastAsia="宋体" w:hAnsi="宋体" w:cs="宋体" w:hint="eastAsia"/>
                <w:color w:val="auto"/>
                <w:sz w:val="20"/>
                <w:szCs w:val="20"/>
                <w:highlight w:val="none"/>
              </w:rPr>
              <w:t>小计</w:t>
            </w:r>
          </w:p>
        </w:tc>
        <w:tc>
          <w:tcPr>
            <w:tcW w:w="740" w:type="dxa"/>
            <w:vMerge w:val="restart"/>
            <w:tcBorders>
              <w:top w:val="nil"/>
              <w:left w:val="nil"/>
              <w:bottom w:val="single" w:sz="8" w:space="0" w:color="auto"/>
              <w:right w:val="single" w:sz="8" w:space="0" w:color="auto"/>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ascii="宋体" w:eastAsia="宋体" w:hAnsi="宋体" w:cs="宋体" w:hint="eastAsia"/>
                <w:color w:val="auto"/>
                <w:sz w:val="20"/>
                <w:szCs w:val="20"/>
                <w:highlight w:val="none"/>
              </w:rPr>
              <w:t>房屋构筑物</w:t>
            </w:r>
          </w:p>
        </w:tc>
        <w:tc>
          <w:tcPr>
            <w:tcW w:w="739" w:type="dxa"/>
            <w:vMerge w:val="restart"/>
            <w:tcBorders>
              <w:top w:val="nil"/>
              <w:left w:val="nil"/>
              <w:bottom w:val="single" w:sz="8" w:space="0" w:color="auto"/>
              <w:right w:val="single" w:sz="8" w:space="0" w:color="auto"/>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ascii="宋体" w:eastAsia="宋体" w:hAnsi="宋体" w:cs="宋体" w:hint="eastAsia"/>
                <w:color w:val="auto"/>
                <w:sz w:val="20"/>
                <w:szCs w:val="20"/>
                <w:highlight w:val="none"/>
              </w:rPr>
              <w:t>车辆</w:t>
            </w:r>
          </w:p>
        </w:tc>
        <w:tc>
          <w:tcPr>
            <w:tcW w:w="822" w:type="dxa"/>
            <w:vMerge w:val="restart"/>
            <w:tcBorders>
              <w:top w:val="nil"/>
              <w:left w:val="nil"/>
              <w:bottom w:val="single" w:sz="8" w:space="0" w:color="auto"/>
              <w:right w:val="single" w:sz="8" w:space="0" w:color="auto"/>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ascii="宋体" w:eastAsia="宋体" w:hAnsi="宋体" w:cs="宋体" w:hint="eastAsia"/>
                <w:color w:val="auto"/>
                <w:sz w:val="20"/>
                <w:szCs w:val="20"/>
                <w:highlight w:val="none"/>
              </w:rPr>
              <w:t>单价</w:t>
            </w:r>
            <w:r>
              <w:rPr>
                <w:rFonts w:ascii="宋体" w:eastAsia="宋体" w:hAnsi="宋体" w:cs="宋体" w:hint="eastAsia"/>
                <w:color w:val="auto"/>
                <w:sz w:val="20"/>
                <w:szCs w:val="20"/>
                <w:highlight w:val="none"/>
                <w:lang w:val="en-US"/>
              </w:rPr>
              <w:t>200</w:t>
            </w:r>
            <w:r>
              <w:rPr>
                <w:rFonts w:ascii="宋体" w:eastAsia="宋体" w:hAnsi="宋体" w:cs="宋体" w:hint="eastAsia"/>
                <w:color w:val="auto"/>
                <w:sz w:val="20"/>
                <w:szCs w:val="20"/>
                <w:highlight w:val="none"/>
              </w:rPr>
              <w:t>万以上大型设备</w:t>
            </w:r>
          </w:p>
        </w:tc>
        <w:tc>
          <w:tcPr>
            <w:tcW w:w="740" w:type="dxa"/>
            <w:vMerge w:val="restart"/>
            <w:tcBorders>
              <w:top w:val="nil"/>
              <w:left w:val="nil"/>
              <w:bottom w:val="single" w:sz="8" w:space="0" w:color="auto"/>
              <w:right w:val="single" w:sz="8" w:space="0" w:color="auto"/>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ascii="宋体" w:eastAsia="宋体" w:hAnsi="宋体" w:cs="宋体" w:hint="eastAsia"/>
                <w:color w:val="auto"/>
                <w:sz w:val="20"/>
                <w:szCs w:val="20"/>
                <w:highlight w:val="none"/>
              </w:rPr>
              <w:t>其他固定资产</w:t>
            </w:r>
          </w:p>
        </w:tc>
        <w:tc>
          <w:tcPr>
            <w:tcW w:w="740" w:type="dxa"/>
            <w:vMerge/>
            <w:tcBorders>
              <w:top w:val="nil"/>
              <w:left w:val="nil"/>
              <w:bottom w:val="single" w:sz="8" w:space="0" w:color="auto"/>
              <w:right w:val="single" w:sz="8" w:space="0" w:color="auto"/>
            </w:tcBorders>
            <w:tcMar>
              <w:left w:w="108" w:type="dxa"/>
              <w:right w:w="108" w:type="dxa"/>
            </w:tcMar>
            <w:vAlign w:val="center"/>
          </w:tcPr>
          <w:p>
            <w:pPr>
              <w:rPr>
                <w:rFonts w:ascii="宋体" w:hint="eastAsia"/>
                <w:color w:val="auto"/>
                <w:sz w:val="24"/>
                <w:szCs w:val="24"/>
                <w:highlight w:val="none"/>
              </w:rPr>
            </w:pPr>
          </w:p>
        </w:tc>
        <w:tc>
          <w:tcPr>
            <w:tcW w:w="740" w:type="dxa"/>
            <w:vMerge/>
            <w:tcBorders>
              <w:top w:val="nil"/>
              <w:left w:val="nil"/>
              <w:bottom w:val="single" w:sz="8" w:space="0" w:color="auto"/>
              <w:right w:val="single" w:sz="8" w:space="0" w:color="auto"/>
            </w:tcBorders>
            <w:tcMar>
              <w:left w:w="108" w:type="dxa"/>
              <w:right w:w="108" w:type="dxa"/>
            </w:tcMar>
            <w:vAlign w:val="center"/>
          </w:tcPr>
          <w:p>
            <w:pPr>
              <w:rPr>
                <w:rFonts w:ascii="宋体" w:hint="eastAsia"/>
                <w:color w:val="auto"/>
                <w:sz w:val="24"/>
                <w:szCs w:val="24"/>
                <w:highlight w:val="none"/>
              </w:rPr>
            </w:pPr>
          </w:p>
        </w:tc>
        <w:tc>
          <w:tcPr>
            <w:tcW w:w="740" w:type="dxa"/>
            <w:vMerge/>
            <w:tcBorders>
              <w:top w:val="nil"/>
              <w:left w:val="nil"/>
              <w:bottom w:val="single" w:sz="8" w:space="0" w:color="auto"/>
              <w:right w:val="single" w:sz="8" w:space="0" w:color="auto"/>
            </w:tcBorders>
            <w:tcMar>
              <w:left w:w="108" w:type="dxa"/>
              <w:right w:w="108" w:type="dxa"/>
            </w:tcMar>
            <w:vAlign w:val="center"/>
          </w:tcPr>
          <w:p>
            <w:pPr>
              <w:rPr>
                <w:rFonts w:ascii="宋体" w:hint="eastAsia"/>
                <w:color w:val="auto"/>
                <w:sz w:val="24"/>
                <w:szCs w:val="24"/>
                <w:highlight w:val="none"/>
              </w:rPr>
            </w:pPr>
          </w:p>
        </w:tc>
        <w:tc>
          <w:tcPr>
            <w:tcW w:w="743" w:type="dxa"/>
            <w:vMerge/>
            <w:tcBorders>
              <w:top w:val="nil"/>
              <w:left w:val="nil"/>
              <w:bottom w:val="single" w:sz="8" w:space="0" w:color="auto"/>
              <w:right w:val="single" w:sz="8" w:space="0" w:color="auto"/>
            </w:tcBorders>
            <w:tcMar>
              <w:left w:w="108" w:type="dxa"/>
              <w:right w:w="108" w:type="dxa"/>
            </w:tcMar>
            <w:vAlign w:val="center"/>
          </w:tcPr>
          <w:p>
            <w:pPr>
              <w:rPr>
                <w:rFonts w:ascii="宋体" w:hint="eastAsia"/>
                <w:color w:val="auto"/>
                <w:sz w:val="24"/>
                <w:szCs w:val="24"/>
                <w:highlight w:val="none"/>
              </w:rPr>
            </w:pPr>
          </w:p>
        </w:tc>
      </w:tr>
      <w:tr>
        <w:tblPrEx>
          <w:tblW w:w="9439" w:type="dxa"/>
          <w:jc w:val="center"/>
          <w:tblInd w:w="0" w:type="dxa"/>
          <w:tblLayout w:type="fixed"/>
          <w:tblCellMar>
            <w:top w:w="0" w:type="dxa"/>
            <w:left w:w="0" w:type="dxa"/>
            <w:bottom w:w="0" w:type="dxa"/>
            <w:right w:w="0" w:type="dxa"/>
          </w:tblCellMar>
        </w:tblPrEx>
        <w:trPr>
          <w:trHeight w:val="260"/>
          <w:jc w:val="center"/>
        </w:trPr>
        <w:tc>
          <w:tcPr>
            <w:tcW w:w="646"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pPr>
              <w:rPr>
                <w:rFonts w:ascii="宋体" w:hint="eastAsia"/>
                <w:color w:val="auto"/>
                <w:sz w:val="24"/>
                <w:szCs w:val="24"/>
                <w:highlight w:val="none"/>
              </w:rPr>
            </w:pPr>
          </w:p>
        </w:tc>
        <w:tc>
          <w:tcPr>
            <w:tcW w:w="420" w:type="dxa"/>
            <w:gridSpan w:val="2"/>
            <w:vMerge/>
            <w:tcBorders>
              <w:top w:val="single" w:sz="8" w:space="0" w:color="auto"/>
              <w:left w:val="nil"/>
              <w:bottom w:val="single" w:sz="8" w:space="0" w:color="auto"/>
              <w:right w:val="single" w:sz="8" w:space="0" w:color="auto"/>
            </w:tcBorders>
            <w:tcMar>
              <w:left w:w="108" w:type="dxa"/>
              <w:right w:w="108" w:type="dxa"/>
            </w:tcMar>
            <w:vAlign w:val="center"/>
          </w:tcPr>
          <w:p>
            <w:pPr>
              <w:rPr>
                <w:rFonts w:ascii="宋体" w:hint="eastAsia"/>
                <w:color w:val="auto"/>
                <w:sz w:val="24"/>
                <w:szCs w:val="24"/>
                <w:highlight w:val="none"/>
              </w:rPr>
            </w:pPr>
          </w:p>
        </w:tc>
        <w:tc>
          <w:tcPr>
            <w:tcW w:w="855" w:type="dxa"/>
            <w:gridSpan w:val="2"/>
            <w:vMerge/>
            <w:tcBorders>
              <w:top w:val="single" w:sz="8" w:space="0" w:color="auto"/>
              <w:left w:val="nil"/>
              <w:bottom w:val="single" w:sz="8" w:space="0" w:color="auto"/>
              <w:right w:val="single" w:sz="8" w:space="0" w:color="auto"/>
            </w:tcBorders>
            <w:tcMar>
              <w:left w:w="108" w:type="dxa"/>
              <w:right w:w="108" w:type="dxa"/>
            </w:tcMar>
            <w:vAlign w:val="center"/>
          </w:tcPr>
          <w:p>
            <w:pPr>
              <w:rPr>
                <w:rFonts w:ascii="宋体" w:hint="eastAsia"/>
                <w:color w:val="auto"/>
                <w:sz w:val="24"/>
                <w:szCs w:val="24"/>
                <w:highlight w:val="none"/>
              </w:rPr>
            </w:pPr>
          </w:p>
        </w:tc>
        <w:tc>
          <w:tcPr>
            <w:tcW w:w="775" w:type="dxa"/>
            <w:vMerge/>
            <w:tcBorders>
              <w:top w:val="single" w:sz="8" w:space="0" w:color="auto"/>
              <w:left w:val="nil"/>
              <w:bottom w:val="single" w:sz="8" w:space="0" w:color="auto"/>
              <w:right w:val="single" w:sz="8" w:space="0" w:color="auto"/>
            </w:tcBorders>
            <w:tcMar>
              <w:left w:w="108" w:type="dxa"/>
              <w:right w:w="108" w:type="dxa"/>
            </w:tcMar>
            <w:vAlign w:val="center"/>
          </w:tcPr>
          <w:p>
            <w:pPr>
              <w:rPr>
                <w:rFonts w:ascii="宋体" w:hint="eastAsia"/>
                <w:color w:val="auto"/>
                <w:sz w:val="24"/>
                <w:szCs w:val="24"/>
                <w:highlight w:val="none"/>
              </w:rPr>
            </w:pPr>
          </w:p>
        </w:tc>
        <w:tc>
          <w:tcPr>
            <w:tcW w:w="739" w:type="dxa"/>
            <w:vMerge/>
            <w:tcBorders>
              <w:top w:val="nil"/>
              <w:left w:val="nil"/>
              <w:bottom w:val="single" w:sz="8" w:space="0" w:color="auto"/>
              <w:right w:val="single" w:sz="8" w:space="0" w:color="auto"/>
            </w:tcBorders>
            <w:tcMar>
              <w:left w:w="108" w:type="dxa"/>
              <w:right w:w="108" w:type="dxa"/>
            </w:tcMar>
            <w:vAlign w:val="center"/>
          </w:tcPr>
          <w:p>
            <w:pPr>
              <w:rPr>
                <w:rFonts w:ascii="宋体" w:hint="eastAsia"/>
                <w:color w:val="auto"/>
                <w:sz w:val="24"/>
                <w:szCs w:val="24"/>
                <w:highlight w:val="none"/>
              </w:rPr>
            </w:pPr>
          </w:p>
        </w:tc>
        <w:tc>
          <w:tcPr>
            <w:tcW w:w="740" w:type="dxa"/>
            <w:vMerge/>
            <w:tcBorders>
              <w:top w:val="nil"/>
              <w:left w:val="nil"/>
              <w:bottom w:val="single" w:sz="8" w:space="0" w:color="auto"/>
              <w:right w:val="single" w:sz="8" w:space="0" w:color="auto"/>
            </w:tcBorders>
            <w:tcMar>
              <w:left w:w="108" w:type="dxa"/>
              <w:right w:w="108" w:type="dxa"/>
            </w:tcMar>
            <w:vAlign w:val="center"/>
          </w:tcPr>
          <w:p>
            <w:pPr>
              <w:rPr>
                <w:rFonts w:ascii="宋体" w:hint="eastAsia"/>
                <w:color w:val="auto"/>
                <w:sz w:val="24"/>
                <w:szCs w:val="24"/>
                <w:highlight w:val="none"/>
              </w:rPr>
            </w:pPr>
          </w:p>
        </w:tc>
        <w:tc>
          <w:tcPr>
            <w:tcW w:w="739" w:type="dxa"/>
            <w:vMerge/>
            <w:tcBorders>
              <w:top w:val="nil"/>
              <w:left w:val="nil"/>
              <w:bottom w:val="single" w:sz="8" w:space="0" w:color="auto"/>
              <w:right w:val="single" w:sz="8" w:space="0" w:color="auto"/>
            </w:tcBorders>
            <w:tcMar>
              <w:left w:w="108" w:type="dxa"/>
              <w:right w:w="108" w:type="dxa"/>
            </w:tcMar>
            <w:vAlign w:val="center"/>
          </w:tcPr>
          <w:p>
            <w:pPr>
              <w:rPr>
                <w:rFonts w:ascii="宋体" w:hint="eastAsia"/>
                <w:color w:val="auto"/>
                <w:sz w:val="24"/>
                <w:szCs w:val="24"/>
                <w:highlight w:val="none"/>
              </w:rPr>
            </w:pPr>
          </w:p>
        </w:tc>
        <w:tc>
          <w:tcPr>
            <w:tcW w:w="822" w:type="dxa"/>
            <w:vMerge/>
            <w:tcBorders>
              <w:top w:val="nil"/>
              <w:left w:val="nil"/>
              <w:bottom w:val="single" w:sz="8" w:space="0" w:color="auto"/>
              <w:right w:val="single" w:sz="8" w:space="0" w:color="auto"/>
            </w:tcBorders>
            <w:tcMar>
              <w:left w:w="108" w:type="dxa"/>
              <w:right w:w="108" w:type="dxa"/>
            </w:tcMar>
            <w:vAlign w:val="center"/>
          </w:tcPr>
          <w:p>
            <w:pPr>
              <w:rPr>
                <w:rFonts w:ascii="宋体" w:hint="eastAsia"/>
                <w:color w:val="auto"/>
                <w:sz w:val="24"/>
                <w:szCs w:val="24"/>
                <w:highlight w:val="none"/>
              </w:rPr>
            </w:pPr>
          </w:p>
        </w:tc>
        <w:tc>
          <w:tcPr>
            <w:tcW w:w="740" w:type="dxa"/>
            <w:vMerge/>
            <w:tcBorders>
              <w:top w:val="nil"/>
              <w:left w:val="nil"/>
              <w:bottom w:val="single" w:sz="8" w:space="0" w:color="auto"/>
              <w:right w:val="single" w:sz="8" w:space="0" w:color="auto"/>
            </w:tcBorders>
            <w:tcMar>
              <w:left w:w="108" w:type="dxa"/>
              <w:right w:w="108" w:type="dxa"/>
            </w:tcMar>
            <w:vAlign w:val="center"/>
          </w:tcPr>
          <w:p>
            <w:pPr>
              <w:rPr>
                <w:rFonts w:ascii="宋体" w:hint="eastAsia"/>
                <w:color w:val="auto"/>
                <w:sz w:val="24"/>
                <w:szCs w:val="24"/>
                <w:highlight w:val="none"/>
              </w:rPr>
            </w:pPr>
          </w:p>
        </w:tc>
        <w:tc>
          <w:tcPr>
            <w:tcW w:w="740" w:type="dxa"/>
            <w:vMerge/>
            <w:tcBorders>
              <w:top w:val="nil"/>
              <w:left w:val="nil"/>
              <w:bottom w:val="single" w:sz="8" w:space="0" w:color="auto"/>
              <w:right w:val="single" w:sz="8" w:space="0" w:color="auto"/>
            </w:tcBorders>
            <w:tcMar>
              <w:left w:w="108" w:type="dxa"/>
              <w:right w:w="108" w:type="dxa"/>
            </w:tcMar>
            <w:vAlign w:val="center"/>
          </w:tcPr>
          <w:p>
            <w:pPr>
              <w:rPr>
                <w:rFonts w:ascii="宋体" w:hint="eastAsia"/>
                <w:color w:val="auto"/>
                <w:sz w:val="24"/>
                <w:szCs w:val="24"/>
                <w:highlight w:val="none"/>
              </w:rPr>
            </w:pPr>
          </w:p>
        </w:tc>
        <w:tc>
          <w:tcPr>
            <w:tcW w:w="740" w:type="dxa"/>
            <w:vMerge/>
            <w:tcBorders>
              <w:top w:val="nil"/>
              <w:left w:val="nil"/>
              <w:bottom w:val="single" w:sz="8" w:space="0" w:color="auto"/>
              <w:right w:val="single" w:sz="8" w:space="0" w:color="auto"/>
            </w:tcBorders>
            <w:tcMar>
              <w:left w:w="108" w:type="dxa"/>
              <w:right w:w="108" w:type="dxa"/>
            </w:tcMar>
            <w:vAlign w:val="center"/>
          </w:tcPr>
          <w:p>
            <w:pPr>
              <w:rPr>
                <w:rFonts w:ascii="宋体" w:hint="eastAsia"/>
                <w:color w:val="auto"/>
                <w:sz w:val="24"/>
                <w:szCs w:val="24"/>
                <w:highlight w:val="none"/>
              </w:rPr>
            </w:pPr>
          </w:p>
        </w:tc>
        <w:tc>
          <w:tcPr>
            <w:tcW w:w="740" w:type="dxa"/>
            <w:vMerge/>
            <w:tcBorders>
              <w:top w:val="nil"/>
              <w:left w:val="nil"/>
              <w:bottom w:val="single" w:sz="8" w:space="0" w:color="auto"/>
              <w:right w:val="single" w:sz="8" w:space="0" w:color="auto"/>
            </w:tcBorders>
            <w:tcMar>
              <w:left w:w="108" w:type="dxa"/>
              <w:right w:w="108" w:type="dxa"/>
            </w:tcMar>
            <w:vAlign w:val="center"/>
          </w:tcPr>
          <w:p>
            <w:pPr>
              <w:rPr>
                <w:rFonts w:ascii="宋体" w:hint="eastAsia"/>
                <w:color w:val="auto"/>
                <w:sz w:val="24"/>
                <w:szCs w:val="24"/>
                <w:highlight w:val="none"/>
              </w:rPr>
            </w:pPr>
          </w:p>
        </w:tc>
        <w:tc>
          <w:tcPr>
            <w:tcW w:w="743" w:type="dxa"/>
            <w:vMerge/>
            <w:tcBorders>
              <w:top w:val="nil"/>
              <w:left w:val="nil"/>
              <w:bottom w:val="single" w:sz="8" w:space="0" w:color="auto"/>
              <w:right w:val="single" w:sz="8" w:space="0" w:color="auto"/>
            </w:tcBorders>
            <w:tcMar>
              <w:left w:w="108" w:type="dxa"/>
              <w:right w:w="108" w:type="dxa"/>
            </w:tcMar>
            <w:vAlign w:val="center"/>
          </w:tcPr>
          <w:p>
            <w:pPr>
              <w:rPr>
                <w:rFonts w:ascii="宋体" w:hint="eastAsia"/>
                <w:color w:val="auto"/>
                <w:sz w:val="24"/>
                <w:szCs w:val="24"/>
                <w:highlight w:val="none"/>
              </w:rPr>
            </w:pPr>
          </w:p>
        </w:tc>
      </w:tr>
      <w:tr>
        <w:tblPrEx>
          <w:tblW w:w="9439" w:type="dxa"/>
          <w:jc w:val="center"/>
          <w:tblInd w:w="0" w:type="dxa"/>
          <w:tblLayout w:type="fixed"/>
          <w:tblCellMar>
            <w:top w:w="0" w:type="dxa"/>
            <w:left w:w="0" w:type="dxa"/>
            <w:bottom w:w="0" w:type="dxa"/>
            <w:right w:w="0" w:type="dxa"/>
          </w:tblCellMar>
        </w:tblPrEx>
        <w:trPr>
          <w:trHeight w:val="300"/>
          <w:jc w:val="center"/>
        </w:trPr>
        <w:tc>
          <w:tcPr>
            <w:tcW w:w="646" w:type="dxa"/>
            <w:tcBorders>
              <w:top w:val="nil"/>
              <w:left w:val="single" w:sz="8" w:space="0" w:color="auto"/>
              <w:bottom w:val="single" w:sz="8" w:space="0" w:color="auto"/>
              <w:right w:val="single" w:sz="8" w:space="0" w:color="auto"/>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ascii="宋体" w:eastAsia="宋体" w:hAnsi="宋体" w:cs="宋体" w:hint="eastAsia"/>
                <w:color w:val="auto"/>
                <w:sz w:val="20"/>
                <w:szCs w:val="20"/>
                <w:highlight w:val="none"/>
              </w:rPr>
              <w:t>栏次</w:t>
            </w:r>
          </w:p>
        </w:tc>
        <w:tc>
          <w:tcPr>
            <w:tcW w:w="420" w:type="dxa"/>
            <w:gridSpan w:val="2"/>
            <w:tcBorders>
              <w:top w:val="nil"/>
              <w:left w:val="nil"/>
              <w:bottom w:val="single" w:sz="8" w:space="0" w:color="auto"/>
              <w:right w:val="single" w:sz="8" w:space="0" w:color="auto"/>
            </w:tcBorders>
            <w:tcMar>
              <w:left w:w="108" w:type="dxa"/>
              <w:right w:w="108" w:type="dxa"/>
            </w:tcMar>
            <w:vAlign w:val="center"/>
          </w:tcPr>
          <w:p>
            <w:pPr>
              <w:keepNext w:val="0"/>
              <w:keepLines w:val="0"/>
              <w:widowControl/>
              <w:suppressLineNumbers w:val="0"/>
              <w:spacing w:before="100" w:beforeAutospacing="1" w:after="100" w:afterAutospacing="1"/>
              <w:ind w:left="0" w:right="0"/>
              <w:jc w:val="left"/>
              <w:rPr>
                <w:color w:val="auto"/>
                <w:highlight w:val="none"/>
              </w:rPr>
            </w:pPr>
            <w:r>
              <w:rPr>
                <w:rFonts w:ascii="宋体" w:eastAsia="宋体" w:hAnsi="宋体" w:cs="宋体" w:hint="eastAsia"/>
                <w:color w:val="auto"/>
                <w:sz w:val="20"/>
                <w:szCs w:val="20"/>
                <w:highlight w:val="none"/>
                <w:lang w:val="en-US"/>
              </w:rPr>
              <w:t> </w:t>
            </w:r>
          </w:p>
        </w:tc>
        <w:tc>
          <w:tcPr>
            <w:tcW w:w="855" w:type="dxa"/>
            <w:gridSpan w:val="2"/>
            <w:tcBorders>
              <w:top w:val="nil"/>
              <w:left w:val="nil"/>
              <w:bottom w:val="single" w:sz="8" w:space="0" w:color="auto"/>
              <w:right w:val="single" w:sz="8" w:space="0" w:color="auto"/>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ascii="宋体" w:eastAsia="宋体" w:hAnsi="宋体" w:cs="宋体" w:hint="eastAsia"/>
                <w:color w:val="auto"/>
                <w:sz w:val="20"/>
                <w:szCs w:val="20"/>
                <w:highlight w:val="none"/>
                <w:lang w:val="en-US"/>
              </w:rPr>
              <w:t>1</w:t>
            </w:r>
          </w:p>
        </w:tc>
        <w:tc>
          <w:tcPr>
            <w:tcW w:w="775" w:type="dxa"/>
            <w:tcBorders>
              <w:top w:val="nil"/>
              <w:left w:val="nil"/>
              <w:bottom w:val="single" w:sz="8" w:space="0" w:color="auto"/>
              <w:right w:val="single" w:sz="8" w:space="0" w:color="auto"/>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ascii="宋体" w:eastAsia="宋体" w:hAnsi="宋体" w:cs="宋体" w:hint="eastAsia"/>
                <w:color w:val="auto"/>
                <w:sz w:val="20"/>
                <w:szCs w:val="20"/>
                <w:highlight w:val="none"/>
                <w:lang w:val="en-US"/>
              </w:rPr>
              <w:t>2</w:t>
            </w:r>
          </w:p>
        </w:tc>
        <w:tc>
          <w:tcPr>
            <w:tcW w:w="739" w:type="dxa"/>
            <w:tcBorders>
              <w:top w:val="nil"/>
              <w:left w:val="nil"/>
              <w:bottom w:val="single" w:sz="8" w:space="0" w:color="auto"/>
              <w:right w:val="single" w:sz="8" w:space="0" w:color="auto"/>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ascii="宋体" w:eastAsia="宋体" w:hAnsi="宋体" w:cs="宋体" w:hint="eastAsia"/>
                <w:color w:val="auto"/>
                <w:sz w:val="20"/>
                <w:szCs w:val="20"/>
                <w:highlight w:val="none"/>
                <w:lang w:val="en-US"/>
              </w:rPr>
              <w:t>3</w:t>
            </w:r>
          </w:p>
        </w:tc>
        <w:tc>
          <w:tcPr>
            <w:tcW w:w="740" w:type="dxa"/>
            <w:tcBorders>
              <w:top w:val="nil"/>
              <w:left w:val="nil"/>
              <w:bottom w:val="single" w:sz="8" w:space="0" w:color="auto"/>
              <w:right w:val="single" w:sz="8" w:space="0" w:color="auto"/>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ascii="宋体" w:eastAsia="宋体" w:hAnsi="宋体" w:cs="宋体" w:hint="eastAsia"/>
                <w:color w:val="auto"/>
                <w:sz w:val="20"/>
                <w:szCs w:val="20"/>
                <w:highlight w:val="none"/>
                <w:lang w:val="en-US"/>
              </w:rPr>
              <w:t>4</w:t>
            </w:r>
          </w:p>
        </w:tc>
        <w:tc>
          <w:tcPr>
            <w:tcW w:w="739" w:type="dxa"/>
            <w:tcBorders>
              <w:top w:val="nil"/>
              <w:left w:val="nil"/>
              <w:bottom w:val="single" w:sz="8" w:space="0" w:color="auto"/>
              <w:right w:val="single" w:sz="8" w:space="0" w:color="auto"/>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ascii="宋体" w:eastAsia="宋体" w:hAnsi="宋体" w:cs="宋体" w:hint="eastAsia"/>
                <w:color w:val="auto"/>
                <w:sz w:val="20"/>
                <w:szCs w:val="20"/>
                <w:highlight w:val="none"/>
                <w:lang w:val="en-US"/>
              </w:rPr>
              <w:t>5</w:t>
            </w:r>
          </w:p>
        </w:tc>
        <w:tc>
          <w:tcPr>
            <w:tcW w:w="822" w:type="dxa"/>
            <w:tcBorders>
              <w:top w:val="nil"/>
              <w:left w:val="nil"/>
              <w:bottom w:val="single" w:sz="8" w:space="0" w:color="auto"/>
              <w:right w:val="single" w:sz="8" w:space="0" w:color="auto"/>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ascii="宋体" w:eastAsia="宋体" w:hAnsi="宋体" w:cs="宋体" w:hint="eastAsia"/>
                <w:color w:val="auto"/>
                <w:sz w:val="20"/>
                <w:szCs w:val="20"/>
                <w:highlight w:val="none"/>
                <w:lang w:val="en-US"/>
              </w:rPr>
              <w:t>6</w:t>
            </w:r>
          </w:p>
        </w:tc>
        <w:tc>
          <w:tcPr>
            <w:tcW w:w="740" w:type="dxa"/>
            <w:tcBorders>
              <w:top w:val="nil"/>
              <w:left w:val="nil"/>
              <w:bottom w:val="single" w:sz="8" w:space="0" w:color="auto"/>
              <w:right w:val="single" w:sz="8" w:space="0" w:color="auto"/>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ascii="宋体" w:eastAsia="宋体" w:hAnsi="宋体" w:cs="宋体" w:hint="eastAsia"/>
                <w:color w:val="auto"/>
                <w:sz w:val="20"/>
                <w:szCs w:val="20"/>
                <w:highlight w:val="none"/>
                <w:lang w:val="en-US"/>
              </w:rPr>
              <w:t>7</w:t>
            </w:r>
          </w:p>
        </w:tc>
        <w:tc>
          <w:tcPr>
            <w:tcW w:w="740" w:type="dxa"/>
            <w:tcBorders>
              <w:top w:val="nil"/>
              <w:left w:val="nil"/>
              <w:bottom w:val="single" w:sz="8" w:space="0" w:color="auto"/>
              <w:right w:val="single" w:sz="8" w:space="0" w:color="auto"/>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ascii="宋体" w:eastAsia="宋体" w:hAnsi="宋体" w:cs="宋体" w:hint="eastAsia"/>
                <w:color w:val="auto"/>
                <w:sz w:val="20"/>
                <w:szCs w:val="20"/>
                <w:highlight w:val="none"/>
                <w:lang w:val="en-US"/>
              </w:rPr>
              <w:t>8</w:t>
            </w:r>
          </w:p>
        </w:tc>
        <w:tc>
          <w:tcPr>
            <w:tcW w:w="740" w:type="dxa"/>
            <w:tcBorders>
              <w:top w:val="nil"/>
              <w:left w:val="nil"/>
              <w:bottom w:val="single" w:sz="8" w:space="0" w:color="auto"/>
              <w:right w:val="single" w:sz="8" w:space="0" w:color="auto"/>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ascii="宋体" w:eastAsia="宋体" w:hAnsi="宋体" w:cs="宋体" w:hint="eastAsia"/>
                <w:color w:val="auto"/>
                <w:sz w:val="20"/>
                <w:szCs w:val="20"/>
                <w:highlight w:val="none"/>
                <w:lang w:val="en-US"/>
              </w:rPr>
              <w:t>9</w:t>
            </w:r>
          </w:p>
        </w:tc>
        <w:tc>
          <w:tcPr>
            <w:tcW w:w="740" w:type="dxa"/>
            <w:tcBorders>
              <w:top w:val="nil"/>
              <w:left w:val="nil"/>
              <w:bottom w:val="single" w:sz="8" w:space="0" w:color="auto"/>
              <w:right w:val="single" w:sz="8" w:space="0" w:color="auto"/>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ascii="宋体" w:eastAsia="宋体" w:hAnsi="宋体" w:cs="宋体" w:hint="eastAsia"/>
                <w:color w:val="auto"/>
                <w:sz w:val="20"/>
                <w:szCs w:val="20"/>
                <w:highlight w:val="none"/>
                <w:lang w:val="en-US"/>
              </w:rPr>
              <w:t>10</w:t>
            </w:r>
          </w:p>
        </w:tc>
        <w:tc>
          <w:tcPr>
            <w:tcW w:w="743" w:type="dxa"/>
            <w:tcBorders>
              <w:top w:val="nil"/>
              <w:left w:val="nil"/>
              <w:bottom w:val="single" w:sz="8" w:space="0" w:color="auto"/>
              <w:right w:val="single" w:sz="8" w:space="0" w:color="auto"/>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ascii="宋体" w:eastAsia="宋体" w:hAnsi="宋体" w:cs="宋体" w:hint="eastAsia"/>
                <w:color w:val="auto"/>
                <w:sz w:val="20"/>
                <w:szCs w:val="20"/>
                <w:highlight w:val="none"/>
                <w:lang w:val="en-US"/>
              </w:rPr>
              <w:t>11</w:t>
            </w:r>
          </w:p>
        </w:tc>
      </w:tr>
      <w:tr>
        <w:tblPrEx>
          <w:tblW w:w="9439" w:type="dxa"/>
          <w:jc w:val="center"/>
          <w:tblInd w:w="0" w:type="dxa"/>
          <w:tblLayout w:type="fixed"/>
          <w:tblCellMar>
            <w:top w:w="0" w:type="dxa"/>
            <w:left w:w="0" w:type="dxa"/>
            <w:bottom w:w="0" w:type="dxa"/>
            <w:right w:w="0" w:type="dxa"/>
          </w:tblCellMar>
        </w:tblPrEx>
        <w:trPr>
          <w:trHeight w:val="300"/>
          <w:jc w:val="center"/>
        </w:trPr>
        <w:tc>
          <w:tcPr>
            <w:tcW w:w="646" w:type="dxa"/>
            <w:tcBorders>
              <w:top w:val="nil"/>
              <w:left w:val="single" w:sz="8" w:space="0" w:color="auto"/>
              <w:bottom w:val="single" w:sz="8" w:space="0" w:color="auto"/>
              <w:right w:val="single" w:sz="8" w:space="0" w:color="auto"/>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ascii="宋体" w:eastAsia="宋体" w:hAnsi="宋体" w:cs="宋体" w:hint="eastAsia"/>
                <w:color w:val="auto"/>
                <w:sz w:val="20"/>
                <w:szCs w:val="20"/>
                <w:highlight w:val="none"/>
              </w:rPr>
              <w:t>合计</w:t>
            </w:r>
          </w:p>
        </w:tc>
        <w:tc>
          <w:tcPr>
            <w:tcW w:w="420" w:type="dxa"/>
            <w:gridSpan w:val="2"/>
            <w:tcBorders>
              <w:top w:val="nil"/>
              <w:left w:val="nil"/>
              <w:bottom w:val="single" w:sz="8" w:space="0" w:color="auto"/>
              <w:right w:val="single" w:sz="8" w:space="0" w:color="auto"/>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color w:val="auto"/>
                <w:highlight w:val="none"/>
              </w:rPr>
            </w:pPr>
            <w:r>
              <w:rPr>
                <w:rFonts w:ascii="宋体" w:eastAsia="宋体" w:hAnsi="宋体" w:cs="宋体" w:hint="eastAsia"/>
                <w:color w:val="auto"/>
                <w:sz w:val="20"/>
                <w:szCs w:val="20"/>
                <w:highlight w:val="none"/>
                <w:lang w:val="en-US"/>
              </w:rPr>
              <w:t>1</w:t>
            </w:r>
          </w:p>
        </w:tc>
        <w:tc>
          <w:tcPr>
            <w:tcW w:w="855" w:type="dxa"/>
            <w:gridSpan w:val="2"/>
            <w:tcBorders>
              <w:top w:val="nil"/>
              <w:left w:val="nil"/>
              <w:bottom w:val="single" w:sz="8" w:space="0" w:color="auto"/>
              <w:right w:val="single" w:sz="8" w:space="0" w:color="auto"/>
            </w:tcBorders>
            <w:tcMar>
              <w:left w:w="108" w:type="dxa"/>
              <w:right w:w="108" w:type="dxa"/>
            </w:tcMar>
            <w:vAlign w:val="center"/>
          </w:tcPr>
          <w:p>
            <w:pPr>
              <w:keepNext w:val="0"/>
              <w:keepLines w:val="0"/>
              <w:widowControl/>
              <w:suppressLineNumbers w:val="0"/>
              <w:spacing w:before="100" w:beforeAutospacing="1" w:after="100" w:afterAutospacing="1"/>
              <w:ind w:left="0" w:right="0"/>
              <w:jc w:val="right"/>
              <w:rPr>
                <w:color w:val="auto"/>
                <w:highlight w:val="none"/>
              </w:rPr>
            </w:pPr>
            <w:r>
              <w:rPr>
                <w:rFonts w:cs="宋体" w:hint="eastAsia"/>
                <w:color w:val="auto"/>
                <w:sz w:val="20"/>
                <w:szCs w:val="20"/>
                <w:highlight w:val="none"/>
                <w:lang w:val="en-US" w:eastAsia="zh-CN"/>
              </w:rPr>
              <w:t>106.71</w:t>
            </w:r>
            <w:r>
              <w:rPr>
                <w:rFonts w:ascii="宋体" w:eastAsia="宋体" w:hAnsi="宋体" w:cs="宋体" w:hint="eastAsia"/>
                <w:color w:val="auto"/>
                <w:sz w:val="20"/>
                <w:szCs w:val="20"/>
                <w:highlight w:val="none"/>
              </w:rPr>
              <w:t>　</w:t>
            </w:r>
          </w:p>
        </w:tc>
        <w:tc>
          <w:tcPr>
            <w:tcW w:w="775" w:type="dxa"/>
            <w:tcBorders>
              <w:top w:val="nil"/>
              <w:left w:val="nil"/>
              <w:bottom w:val="single" w:sz="8" w:space="0" w:color="auto"/>
              <w:right w:val="single" w:sz="8" w:space="0" w:color="auto"/>
            </w:tcBorders>
            <w:tcMar>
              <w:left w:w="108" w:type="dxa"/>
              <w:right w:w="108" w:type="dxa"/>
            </w:tcMar>
            <w:vAlign w:val="center"/>
          </w:tcPr>
          <w:p>
            <w:pPr>
              <w:keepNext w:val="0"/>
              <w:keepLines w:val="0"/>
              <w:widowControl/>
              <w:suppressLineNumbers w:val="0"/>
              <w:spacing w:before="100" w:beforeAutospacing="1" w:after="100" w:afterAutospacing="1"/>
              <w:ind w:left="0" w:right="0"/>
              <w:jc w:val="right"/>
              <w:rPr>
                <w:color w:val="auto"/>
                <w:highlight w:val="none"/>
              </w:rPr>
            </w:pPr>
            <w:r>
              <w:rPr>
                <w:rFonts w:ascii="宋体" w:eastAsia="宋体" w:hAnsi="宋体" w:cs="宋体" w:hint="eastAsia"/>
                <w:color w:val="auto"/>
                <w:sz w:val="20"/>
                <w:szCs w:val="20"/>
                <w:highlight w:val="none"/>
                <w:lang w:val="en-US" w:eastAsia="zh-CN"/>
              </w:rPr>
              <w:t>71.8</w:t>
            </w:r>
            <w:r>
              <w:rPr>
                <w:rFonts w:cs="宋体" w:hint="eastAsia"/>
                <w:color w:val="auto"/>
                <w:sz w:val="20"/>
                <w:szCs w:val="20"/>
                <w:highlight w:val="none"/>
                <w:lang w:val="en-US" w:eastAsia="zh-CN"/>
              </w:rPr>
              <w:t>0</w:t>
            </w:r>
            <w:r>
              <w:rPr>
                <w:rFonts w:ascii="宋体" w:eastAsia="宋体" w:hAnsi="宋体" w:cs="宋体" w:hint="eastAsia"/>
                <w:color w:val="auto"/>
                <w:sz w:val="20"/>
                <w:szCs w:val="20"/>
                <w:highlight w:val="none"/>
              </w:rPr>
              <w:t>　</w:t>
            </w:r>
          </w:p>
        </w:tc>
        <w:tc>
          <w:tcPr>
            <w:tcW w:w="739" w:type="dxa"/>
            <w:tcBorders>
              <w:top w:val="nil"/>
              <w:left w:val="nil"/>
              <w:bottom w:val="single" w:sz="8" w:space="0" w:color="auto"/>
              <w:right w:val="single" w:sz="8" w:space="0" w:color="auto"/>
            </w:tcBorders>
            <w:tcMar>
              <w:left w:w="108" w:type="dxa"/>
              <w:right w:w="108" w:type="dxa"/>
            </w:tcMar>
            <w:vAlign w:val="center"/>
          </w:tcPr>
          <w:p>
            <w:pPr>
              <w:keepNext w:val="0"/>
              <w:keepLines w:val="0"/>
              <w:widowControl/>
              <w:suppressLineNumbers w:val="0"/>
              <w:spacing w:before="100" w:beforeAutospacing="1" w:after="100" w:afterAutospacing="1"/>
              <w:ind w:left="0" w:right="0"/>
              <w:jc w:val="right"/>
              <w:rPr>
                <w:color w:val="auto"/>
                <w:highlight w:val="none"/>
              </w:rPr>
            </w:pPr>
            <w:r>
              <w:rPr>
                <w:rFonts w:cs="宋体" w:hint="eastAsia"/>
                <w:color w:val="auto"/>
                <w:sz w:val="20"/>
                <w:szCs w:val="20"/>
                <w:highlight w:val="none"/>
                <w:lang w:val="en-US" w:eastAsia="zh-CN"/>
              </w:rPr>
              <w:t>34.91</w:t>
            </w:r>
            <w:r>
              <w:rPr>
                <w:rFonts w:ascii="宋体" w:eastAsia="宋体" w:hAnsi="宋体" w:cs="宋体" w:hint="eastAsia"/>
                <w:color w:val="auto"/>
                <w:sz w:val="20"/>
                <w:szCs w:val="20"/>
                <w:highlight w:val="none"/>
              </w:rPr>
              <w:t>　</w:t>
            </w:r>
          </w:p>
        </w:tc>
        <w:tc>
          <w:tcPr>
            <w:tcW w:w="740" w:type="dxa"/>
            <w:tcBorders>
              <w:top w:val="nil"/>
              <w:left w:val="nil"/>
              <w:bottom w:val="single" w:sz="8" w:space="0" w:color="auto"/>
              <w:right w:val="single" w:sz="8" w:space="0" w:color="auto"/>
            </w:tcBorders>
            <w:tcMar>
              <w:left w:w="108" w:type="dxa"/>
              <w:right w:w="108" w:type="dxa"/>
            </w:tcMar>
            <w:vAlign w:val="center"/>
          </w:tcPr>
          <w:p>
            <w:pPr>
              <w:keepNext w:val="0"/>
              <w:keepLines w:val="0"/>
              <w:widowControl/>
              <w:suppressLineNumbers w:val="0"/>
              <w:spacing w:before="100" w:beforeAutospacing="1" w:after="100" w:afterAutospacing="1"/>
              <w:ind w:left="0" w:right="0"/>
              <w:jc w:val="right"/>
              <w:rPr>
                <w:color w:val="auto"/>
                <w:highlight w:val="none"/>
              </w:rPr>
            </w:pPr>
            <w:r>
              <w:rPr>
                <w:rFonts w:cs="宋体" w:hint="eastAsia"/>
                <w:color w:val="auto"/>
                <w:sz w:val="20"/>
                <w:szCs w:val="20"/>
                <w:highlight w:val="none"/>
                <w:lang w:val="en-US" w:eastAsia="zh-CN"/>
              </w:rPr>
              <w:t>9.52</w:t>
            </w:r>
            <w:r>
              <w:rPr>
                <w:rFonts w:ascii="宋体" w:eastAsia="宋体" w:hAnsi="宋体" w:cs="宋体" w:hint="eastAsia"/>
                <w:color w:val="auto"/>
                <w:sz w:val="20"/>
                <w:szCs w:val="20"/>
                <w:highlight w:val="none"/>
              </w:rPr>
              <w:t>　</w:t>
            </w:r>
          </w:p>
        </w:tc>
        <w:tc>
          <w:tcPr>
            <w:tcW w:w="739" w:type="dxa"/>
            <w:tcBorders>
              <w:top w:val="nil"/>
              <w:left w:val="nil"/>
              <w:bottom w:val="single" w:sz="8" w:space="0" w:color="auto"/>
              <w:right w:val="single" w:sz="8" w:space="0" w:color="auto"/>
            </w:tcBorders>
            <w:tcMar>
              <w:left w:w="108" w:type="dxa"/>
              <w:right w:w="108" w:type="dxa"/>
            </w:tcMar>
            <w:vAlign w:val="center"/>
          </w:tcPr>
          <w:p>
            <w:pPr>
              <w:keepNext w:val="0"/>
              <w:keepLines w:val="0"/>
              <w:widowControl/>
              <w:suppressLineNumbers w:val="0"/>
              <w:spacing w:before="100" w:beforeAutospacing="1" w:after="100" w:afterAutospacing="1"/>
              <w:ind w:left="0" w:right="0"/>
              <w:jc w:val="right"/>
              <w:rPr>
                <w:color w:val="auto"/>
                <w:highlight w:val="none"/>
              </w:rPr>
            </w:pPr>
            <w:r>
              <w:rPr>
                <w:rFonts w:ascii="宋体" w:eastAsia="宋体" w:hAnsi="宋体" w:cs="宋体" w:hint="eastAsia"/>
                <w:color w:val="auto"/>
                <w:sz w:val="20"/>
                <w:szCs w:val="20"/>
                <w:highlight w:val="none"/>
                <w:lang w:val="en-US" w:eastAsia="zh-CN"/>
              </w:rPr>
              <w:t>0.00</w:t>
            </w:r>
            <w:r>
              <w:rPr>
                <w:rFonts w:ascii="宋体" w:eastAsia="宋体" w:hAnsi="宋体" w:cs="宋体" w:hint="eastAsia"/>
                <w:color w:val="auto"/>
                <w:sz w:val="20"/>
                <w:szCs w:val="20"/>
                <w:highlight w:val="none"/>
              </w:rPr>
              <w:t>　</w:t>
            </w:r>
          </w:p>
        </w:tc>
        <w:tc>
          <w:tcPr>
            <w:tcW w:w="822" w:type="dxa"/>
            <w:tcBorders>
              <w:top w:val="nil"/>
              <w:left w:val="nil"/>
              <w:bottom w:val="single" w:sz="8" w:space="0" w:color="auto"/>
              <w:right w:val="single" w:sz="8" w:space="0" w:color="auto"/>
            </w:tcBorders>
            <w:tcMar>
              <w:left w:w="108" w:type="dxa"/>
              <w:right w:w="108" w:type="dxa"/>
            </w:tcMar>
            <w:vAlign w:val="center"/>
          </w:tcPr>
          <w:p>
            <w:pPr>
              <w:keepNext w:val="0"/>
              <w:keepLines w:val="0"/>
              <w:widowControl/>
              <w:suppressLineNumbers w:val="0"/>
              <w:spacing w:before="100" w:beforeAutospacing="1" w:after="100" w:afterAutospacing="1"/>
              <w:ind w:left="0" w:right="0"/>
              <w:jc w:val="right"/>
              <w:rPr>
                <w:color w:val="auto"/>
                <w:highlight w:val="none"/>
              </w:rPr>
            </w:pPr>
            <w:r>
              <w:rPr>
                <w:rFonts w:ascii="宋体" w:eastAsia="宋体" w:hAnsi="宋体" w:cs="宋体" w:hint="eastAsia"/>
                <w:color w:val="auto"/>
                <w:sz w:val="20"/>
                <w:szCs w:val="20"/>
                <w:highlight w:val="none"/>
                <w:lang w:val="en-US" w:eastAsia="zh-CN"/>
              </w:rPr>
              <w:t>0.00</w:t>
            </w:r>
            <w:r>
              <w:rPr>
                <w:rFonts w:ascii="宋体" w:eastAsia="宋体" w:hAnsi="宋体" w:cs="宋体" w:hint="eastAsia"/>
                <w:color w:val="auto"/>
                <w:sz w:val="20"/>
                <w:szCs w:val="20"/>
                <w:highlight w:val="none"/>
                <w:lang w:val="en-US"/>
              </w:rPr>
              <w:t> </w:t>
            </w:r>
          </w:p>
        </w:tc>
        <w:tc>
          <w:tcPr>
            <w:tcW w:w="740" w:type="dxa"/>
            <w:tcBorders>
              <w:top w:val="nil"/>
              <w:left w:val="nil"/>
              <w:bottom w:val="single" w:sz="8" w:space="0" w:color="auto"/>
              <w:right w:val="single" w:sz="8" w:space="0" w:color="auto"/>
            </w:tcBorders>
            <w:tcMar>
              <w:left w:w="108" w:type="dxa"/>
              <w:right w:w="108" w:type="dxa"/>
            </w:tcMar>
            <w:vAlign w:val="center"/>
          </w:tcPr>
          <w:p>
            <w:pPr>
              <w:keepNext w:val="0"/>
              <w:keepLines w:val="0"/>
              <w:widowControl/>
              <w:suppressLineNumbers w:val="0"/>
              <w:spacing w:before="100" w:beforeAutospacing="1" w:after="100" w:afterAutospacing="1"/>
              <w:ind w:left="0" w:right="0"/>
              <w:jc w:val="right"/>
              <w:rPr>
                <w:color w:val="auto"/>
                <w:highlight w:val="none"/>
              </w:rPr>
            </w:pPr>
            <w:r>
              <w:rPr>
                <w:rFonts w:cs="宋体" w:hint="eastAsia"/>
                <w:color w:val="auto"/>
                <w:sz w:val="20"/>
                <w:szCs w:val="20"/>
                <w:highlight w:val="none"/>
                <w:lang w:val="en-US" w:eastAsia="zh-CN"/>
              </w:rPr>
              <w:t>25.39</w:t>
            </w:r>
            <w:r>
              <w:rPr>
                <w:rFonts w:ascii="宋体" w:eastAsia="宋体" w:hAnsi="宋体" w:cs="宋体" w:hint="eastAsia"/>
                <w:color w:val="auto"/>
                <w:sz w:val="20"/>
                <w:szCs w:val="20"/>
                <w:highlight w:val="none"/>
              </w:rPr>
              <w:t>　</w:t>
            </w:r>
          </w:p>
        </w:tc>
        <w:tc>
          <w:tcPr>
            <w:tcW w:w="740" w:type="dxa"/>
            <w:tcBorders>
              <w:top w:val="nil"/>
              <w:left w:val="nil"/>
              <w:bottom w:val="single" w:sz="8" w:space="0" w:color="auto"/>
              <w:right w:val="single" w:sz="8" w:space="0" w:color="auto"/>
            </w:tcBorders>
            <w:tcMar>
              <w:left w:w="108" w:type="dxa"/>
              <w:right w:w="108" w:type="dxa"/>
            </w:tcMar>
            <w:vAlign w:val="center"/>
          </w:tcPr>
          <w:p>
            <w:pPr>
              <w:keepNext w:val="0"/>
              <w:keepLines w:val="0"/>
              <w:widowControl/>
              <w:suppressLineNumbers w:val="0"/>
              <w:spacing w:before="100" w:beforeAutospacing="1" w:after="100" w:afterAutospacing="1"/>
              <w:ind w:left="0" w:right="0"/>
              <w:jc w:val="right"/>
              <w:rPr>
                <w:color w:val="auto"/>
                <w:highlight w:val="none"/>
              </w:rPr>
            </w:pPr>
            <w:r>
              <w:rPr>
                <w:rFonts w:ascii="宋体" w:eastAsia="宋体" w:hAnsi="宋体" w:cs="宋体" w:hint="eastAsia"/>
                <w:color w:val="auto"/>
                <w:sz w:val="20"/>
                <w:szCs w:val="20"/>
                <w:highlight w:val="none"/>
                <w:lang w:val="en-US" w:eastAsia="zh-CN"/>
              </w:rPr>
              <w:t>0.00</w:t>
            </w:r>
            <w:r>
              <w:rPr>
                <w:rFonts w:ascii="宋体" w:eastAsia="宋体" w:hAnsi="宋体" w:cs="宋体" w:hint="eastAsia"/>
                <w:color w:val="auto"/>
                <w:sz w:val="20"/>
                <w:szCs w:val="20"/>
                <w:highlight w:val="none"/>
              </w:rPr>
              <w:t>　</w:t>
            </w:r>
          </w:p>
        </w:tc>
        <w:tc>
          <w:tcPr>
            <w:tcW w:w="740" w:type="dxa"/>
            <w:tcBorders>
              <w:top w:val="nil"/>
              <w:left w:val="nil"/>
              <w:bottom w:val="single" w:sz="8" w:space="0" w:color="auto"/>
              <w:right w:val="single" w:sz="8" w:space="0" w:color="auto"/>
            </w:tcBorders>
            <w:tcMar>
              <w:left w:w="108" w:type="dxa"/>
              <w:right w:w="108" w:type="dxa"/>
            </w:tcMar>
            <w:vAlign w:val="center"/>
          </w:tcPr>
          <w:p>
            <w:pPr>
              <w:keepNext w:val="0"/>
              <w:keepLines w:val="0"/>
              <w:widowControl/>
              <w:suppressLineNumbers w:val="0"/>
              <w:spacing w:before="100" w:beforeAutospacing="1" w:after="100" w:afterAutospacing="1"/>
              <w:ind w:left="0" w:right="0"/>
              <w:jc w:val="right"/>
              <w:rPr>
                <w:color w:val="auto"/>
                <w:highlight w:val="none"/>
              </w:rPr>
            </w:pPr>
            <w:r>
              <w:rPr>
                <w:rFonts w:ascii="宋体" w:eastAsia="宋体" w:hAnsi="宋体" w:cs="宋体" w:hint="eastAsia"/>
                <w:color w:val="auto"/>
                <w:sz w:val="20"/>
                <w:szCs w:val="20"/>
                <w:highlight w:val="none"/>
                <w:lang w:val="en-US" w:eastAsia="zh-CN"/>
              </w:rPr>
              <w:t>0.00</w:t>
            </w:r>
            <w:r>
              <w:rPr>
                <w:rFonts w:ascii="宋体" w:eastAsia="宋体" w:hAnsi="宋体" w:cs="宋体" w:hint="eastAsia"/>
                <w:color w:val="auto"/>
                <w:sz w:val="20"/>
                <w:szCs w:val="20"/>
                <w:highlight w:val="none"/>
              </w:rPr>
              <w:t>　</w:t>
            </w:r>
          </w:p>
        </w:tc>
        <w:tc>
          <w:tcPr>
            <w:tcW w:w="740" w:type="dxa"/>
            <w:tcBorders>
              <w:top w:val="nil"/>
              <w:left w:val="nil"/>
              <w:bottom w:val="single" w:sz="8" w:space="0" w:color="auto"/>
              <w:right w:val="single" w:sz="8" w:space="0" w:color="auto"/>
            </w:tcBorders>
            <w:tcMar>
              <w:left w:w="108" w:type="dxa"/>
              <w:right w:w="108" w:type="dxa"/>
            </w:tcMar>
            <w:vAlign w:val="center"/>
          </w:tcPr>
          <w:p>
            <w:pPr>
              <w:keepNext w:val="0"/>
              <w:keepLines w:val="0"/>
              <w:widowControl/>
              <w:suppressLineNumbers w:val="0"/>
              <w:spacing w:before="100" w:beforeAutospacing="1" w:after="100" w:afterAutospacing="1"/>
              <w:ind w:left="0" w:right="0"/>
              <w:jc w:val="right"/>
              <w:rPr>
                <w:color w:val="auto"/>
                <w:highlight w:val="none"/>
              </w:rPr>
            </w:pPr>
            <w:r>
              <w:rPr>
                <w:rFonts w:ascii="宋体" w:eastAsia="宋体" w:hAnsi="宋体" w:cs="宋体" w:hint="eastAsia"/>
                <w:color w:val="auto"/>
                <w:sz w:val="20"/>
                <w:szCs w:val="20"/>
                <w:highlight w:val="none"/>
                <w:lang w:val="en-US" w:eastAsia="zh-CN"/>
              </w:rPr>
              <w:t>0.00</w:t>
            </w:r>
            <w:r>
              <w:rPr>
                <w:rFonts w:ascii="宋体" w:eastAsia="宋体" w:hAnsi="宋体" w:cs="宋体" w:hint="eastAsia"/>
                <w:color w:val="auto"/>
                <w:sz w:val="20"/>
                <w:szCs w:val="20"/>
                <w:highlight w:val="none"/>
              </w:rPr>
              <w:t>　</w:t>
            </w:r>
          </w:p>
        </w:tc>
        <w:tc>
          <w:tcPr>
            <w:tcW w:w="743" w:type="dxa"/>
            <w:tcBorders>
              <w:top w:val="nil"/>
              <w:left w:val="nil"/>
              <w:bottom w:val="single" w:sz="8" w:space="0" w:color="auto"/>
              <w:right w:val="single" w:sz="8" w:space="0" w:color="auto"/>
            </w:tcBorders>
            <w:tcMar>
              <w:left w:w="108" w:type="dxa"/>
              <w:right w:w="108" w:type="dxa"/>
            </w:tcMar>
            <w:vAlign w:val="center"/>
          </w:tcPr>
          <w:p>
            <w:pPr>
              <w:keepNext w:val="0"/>
              <w:keepLines w:val="0"/>
              <w:widowControl/>
              <w:suppressLineNumbers w:val="0"/>
              <w:spacing w:before="100" w:beforeAutospacing="1" w:after="100" w:afterAutospacing="1"/>
              <w:ind w:left="0" w:right="0"/>
              <w:jc w:val="right"/>
              <w:rPr>
                <w:color w:val="auto"/>
                <w:highlight w:val="none"/>
              </w:rPr>
            </w:pPr>
            <w:r>
              <w:rPr>
                <w:rFonts w:ascii="宋体" w:eastAsia="宋体" w:hAnsi="宋体" w:cs="宋体" w:hint="eastAsia"/>
                <w:color w:val="auto"/>
                <w:sz w:val="20"/>
                <w:szCs w:val="20"/>
                <w:highlight w:val="none"/>
                <w:lang w:val="en-US" w:eastAsia="zh-CN"/>
              </w:rPr>
              <w:t>0.00</w:t>
            </w:r>
            <w:r>
              <w:rPr>
                <w:rFonts w:ascii="宋体" w:eastAsia="宋体" w:hAnsi="宋体" w:cs="宋体" w:hint="eastAsia"/>
                <w:color w:val="auto"/>
                <w:sz w:val="20"/>
                <w:szCs w:val="20"/>
                <w:highlight w:val="none"/>
              </w:rPr>
              <w:t>　</w:t>
            </w:r>
          </w:p>
        </w:tc>
      </w:tr>
      <w:tr>
        <w:tblPrEx>
          <w:tblW w:w="9439" w:type="dxa"/>
          <w:jc w:val="center"/>
          <w:tblInd w:w="0" w:type="dxa"/>
          <w:tblLayout w:type="fixed"/>
          <w:tblCellMar>
            <w:top w:w="0" w:type="dxa"/>
            <w:left w:w="0" w:type="dxa"/>
            <w:bottom w:w="0" w:type="dxa"/>
            <w:right w:w="0" w:type="dxa"/>
          </w:tblCellMar>
        </w:tblPrEx>
        <w:trPr>
          <w:trHeight w:val="240"/>
          <w:jc w:val="center"/>
        </w:trPr>
        <w:tc>
          <w:tcPr>
            <w:tcW w:w="9439" w:type="dxa"/>
            <w:gridSpan w:val="15"/>
            <w:tcMar>
              <w:left w:w="108" w:type="dxa"/>
              <w:right w:w="108" w:type="dxa"/>
            </w:tcMar>
            <w:vAlign w:val="bottom"/>
          </w:tcPr>
          <w:p>
            <w:pPr>
              <w:keepNext w:val="0"/>
              <w:keepLines w:val="0"/>
              <w:widowControl/>
              <w:suppressLineNumbers w:val="0"/>
              <w:spacing w:before="100" w:beforeAutospacing="1" w:after="100" w:afterAutospacing="1"/>
              <w:ind w:left="0" w:right="0"/>
              <w:jc w:val="center"/>
              <w:rPr>
                <w:color w:val="auto"/>
                <w:highlight w:val="none"/>
              </w:rPr>
            </w:pPr>
            <w:r>
              <w:rPr>
                <w:rFonts w:ascii="宋体" w:eastAsia="宋体" w:hAnsi="宋体" w:cs="宋体" w:hint="eastAsia"/>
                <w:color w:val="auto"/>
                <w:sz w:val="20"/>
                <w:szCs w:val="20"/>
                <w:highlight w:val="none"/>
              </w:rPr>
              <w:t>　</w:t>
            </w:r>
          </w:p>
        </w:tc>
      </w:tr>
      <w:tr>
        <w:tblPrEx>
          <w:tblW w:w="9439" w:type="dxa"/>
          <w:jc w:val="center"/>
          <w:tblInd w:w="0" w:type="dxa"/>
          <w:tblLayout w:type="fixed"/>
          <w:tblCellMar>
            <w:top w:w="0" w:type="dxa"/>
            <w:left w:w="0" w:type="dxa"/>
            <w:bottom w:w="0" w:type="dxa"/>
            <w:right w:w="0" w:type="dxa"/>
          </w:tblCellMar>
        </w:tblPrEx>
        <w:trPr>
          <w:trHeight w:val="300"/>
          <w:jc w:val="center"/>
        </w:trPr>
        <w:tc>
          <w:tcPr>
            <w:tcW w:w="1216" w:type="dxa"/>
            <w:gridSpan w:val="4"/>
            <w:tcMar>
              <w:left w:w="108" w:type="dxa"/>
              <w:right w:w="108" w:type="dxa"/>
            </w:tcMar>
            <w:vAlign w:val="bottom"/>
          </w:tcPr>
          <w:p>
            <w:pPr>
              <w:keepNext w:val="0"/>
              <w:keepLines w:val="0"/>
              <w:widowControl/>
              <w:suppressLineNumbers w:val="0"/>
              <w:spacing w:before="100" w:beforeAutospacing="1" w:after="100" w:afterAutospacing="1"/>
              <w:ind w:left="0" w:right="0"/>
              <w:jc w:val="center"/>
              <w:rPr>
                <w:color w:val="auto"/>
                <w:highlight w:val="none"/>
              </w:rPr>
            </w:pPr>
            <w:r>
              <w:rPr>
                <w:rFonts w:ascii="宋体" w:eastAsia="宋体" w:hAnsi="宋体" w:cs="宋体" w:hint="eastAsia"/>
                <w:color w:val="auto"/>
                <w:sz w:val="20"/>
                <w:szCs w:val="20"/>
                <w:highlight w:val="none"/>
              </w:rPr>
              <w:t>填报说明：</w:t>
            </w:r>
          </w:p>
        </w:tc>
        <w:tc>
          <w:tcPr>
            <w:tcW w:w="8223" w:type="dxa"/>
            <w:gridSpan w:val="11"/>
            <w:tcMar>
              <w:left w:w="108" w:type="dxa"/>
              <w:right w:w="108" w:type="dxa"/>
            </w:tcMar>
            <w:vAlign w:val="center"/>
          </w:tcPr>
          <w:p>
            <w:pPr>
              <w:keepNext w:val="0"/>
              <w:keepLines w:val="0"/>
              <w:widowControl/>
              <w:suppressLineNumbers w:val="0"/>
              <w:spacing w:before="100" w:beforeAutospacing="1" w:after="100" w:afterAutospacing="1"/>
              <w:ind w:left="0" w:right="0"/>
              <w:jc w:val="left"/>
              <w:rPr>
                <w:color w:val="auto"/>
                <w:highlight w:val="none"/>
              </w:rPr>
            </w:pPr>
            <w:r>
              <w:rPr>
                <w:rFonts w:ascii="宋体" w:eastAsia="宋体" w:hAnsi="宋体" w:cs="宋体" w:hint="eastAsia"/>
                <w:color w:val="auto"/>
                <w:sz w:val="20"/>
                <w:szCs w:val="20"/>
                <w:highlight w:val="none"/>
                <w:lang w:val="en-US"/>
              </w:rPr>
              <w:t>1.</w:t>
            </w:r>
            <w:r>
              <w:rPr>
                <w:rFonts w:ascii="宋体" w:eastAsia="宋体" w:hAnsi="宋体" w:cs="宋体" w:hint="eastAsia"/>
                <w:color w:val="auto"/>
                <w:sz w:val="20"/>
                <w:szCs w:val="20"/>
                <w:highlight w:val="none"/>
              </w:rPr>
              <w:t>资产总额＝流动资产＋固定资产＋对外投资／有价证券＋在建工程＋无形资产＋其他资产</w:t>
            </w:r>
          </w:p>
        </w:tc>
      </w:tr>
      <w:tr>
        <w:tblPrEx>
          <w:tblW w:w="9439" w:type="dxa"/>
          <w:jc w:val="center"/>
          <w:tblInd w:w="0" w:type="dxa"/>
          <w:tblLayout w:type="fixed"/>
          <w:tblCellMar>
            <w:top w:w="0" w:type="dxa"/>
            <w:left w:w="0" w:type="dxa"/>
            <w:bottom w:w="0" w:type="dxa"/>
            <w:right w:w="0" w:type="dxa"/>
          </w:tblCellMar>
        </w:tblPrEx>
        <w:trPr>
          <w:trHeight w:val="285"/>
          <w:jc w:val="center"/>
        </w:trPr>
        <w:tc>
          <w:tcPr>
            <w:tcW w:w="727" w:type="dxa"/>
            <w:gridSpan w:val="2"/>
            <w:tcMar>
              <w:left w:w="108" w:type="dxa"/>
              <w:right w:w="108" w:type="dxa"/>
            </w:tcMar>
            <w:vAlign w:val="center"/>
          </w:tcPr>
          <w:p>
            <w:pPr>
              <w:keepNext w:val="0"/>
              <w:keepLines w:val="0"/>
              <w:widowControl/>
              <w:suppressLineNumbers w:val="0"/>
              <w:spacing w:before="100" w:beforeAutospacing="1" w:after="100" w:afterAutospacing="1"/>
              <w:ind w:left="0" w:right="0"/>
              <w:jc w:val="left"/>
              <w:rPr>
                <w:rFonts w:ascii="宋体" w:eastAsia="宋体" w:hAnsi="宋体" w:cs="宋体" w:hint="eastAsia"/>
                <w:color w:val="auto"/>
                <w:sz w:val="24"/>
                <w:szCs w:val="24"/>
                <w:highlight w:val="none"/>
                <w:lang w:val="en-US"/>
              </w:rPr>
            </w:pPr>
            <w:r>
              <w:rPr>
                <w:rFonts w:ascii="宋体" w:eastAsia="宋体" w:hAnsi="宋体" w:cs="宋体" w:hint="eastAsia"/>
                <w:color w:val="auto"/>
                <w:sz w:val="24"/>
                <w:szCs w:val="24"/>
                <w:highlight w:val="none"/>
                <w:lang w:val="en-US"/>
              </w:rPr>
              <w:t> </w:t>
            </w:r>
          </w:p>
        </w:tc>
        <w:tc>
          <w:tcPr>
            <w:tcW w:w="489" w:type="dxa"/>
            <w:gridSpan w:val="2"/>
            <w:tcMar>
              <w:left w:w="108" w:type="dxa"/>
              <w:right w:w="108" w:type="dxa"/>
            </w:tcMar>
            <w:vAlign w:val="center"/>
          </w:tcPr>
          <w:p>
            <w:pPr>
              <w:keepNext w:val="0"/>
              <w:keepLines w:val="0"/>
              <w:widowControl/>
              <w:suppressLineNumbers w:val="0"/>
              <w:spacing w:before="100" w:beforeAutospacing="1" w:after="100" w:afterAutospacing="1"/>
              <w:ind w:left="0" w:right="0"/>
              <w:jc w:val="left"/>
              <w:rPr>
                <w:rFonts w:ascii="宋体" w:eastAsia="宋体" w:hAnsi="宋体" w:cs="宋体" w:hint="eastAsia"/>
                <w:color w:val="auto"/>
                <w:sz w:val="24"/>
                <w:szCs w:val="24"/>
                <w:highlight w:val="none"/>
                <w:lang w:val="en-US"/>
              </w:rPr>
            </w:pPr>
            <w:r>
              <w:rPr>
                <w:rFonts w:ascii="宋体" w:eastAsia="宋体" w:hAnsi="宋体" w:cs="宋体" w:hint="eastAsia"/>
                <w:color w:val="auto"/>
                <w:sz w:val="24"/>
                <w:szCs w:val="24"/>
                <w:highlight w:val="none"/>
                <w:lang w:val="en-US"/>
              </w:rPr>
              <w:t> </w:t>
            </w:r>
          </w:p>
        </w:tc>
        <w:tc>
          <w:tcPr>
            <w:tcW w:w="8223" w:type="dxa"/>
            <w:gridSpan w:val="11"/>
            <w:tcMar>
              <w:left w:w="108" w:type="dxa"/>
              <w:right w:w="108" w:type="dxa"/>
            </w:tcMar>
            <w:vAlign w:val="center"/>
          </w:tcPr>
          <w:p>
            <w:pPr>
              <w:keepNext w:val="0"/>
              <w:keepLines w:val="0"/>
              <w:widowControl/>
              <w:suppressLineNumbers w:val="0"/>
              <w:spacing w:before="100" w:beforeAutospacing="1" w:after="100" w:afterAutospacing="1"/>
              <w:ind w:left="0" w:right="0"/>
              <w:jc w:val="left"/>
              <w:rPr>
                <w:color w:val="auto"/>
                <w:highlight w:val="none"/>
              </w:rPr>
            </w:pPr>
            <w:r>
              <w:rPr>
                <w:rFonts w:ascii="宋体" w:eastAsia="宋体" w:hAnsi="宋体" w:cs="宋体" w:hint="eastAsia"/>
                <w:color w:val="auto"/>
                <w:sz w:val="20"/>
                <w:szCs w:val="20"/>
                <w:highlight w:val="none"/>
                <w:lang w:val="en-US"/>
              </w:rPr>
              <w:t>2.</w:t>
            </w:r>
            <w:r>
              <w:rPr>
                <w:rFonts w:ascii="宋体" w:eastAsia="宋体" w:hAnsi="宋体" w:cs="宋体" w:hint="eastAsia"/>
                <w:color w:val="auto"/>
                <w:sz w:val="20"/>
                <w:szCs w:val="20"/>
                <w:highlight w:val="none"/>
              </w:rPr>
              <w:t>固定资产＝房屋构筑物＋车辆＋单价</w:t>
            </w:r>
            <w:r>
              <w:rPr>
                <w:rFonts w:ascii="宋体" w:eastAsia="宋体" w:hAnsi="宋体" w:cs="宋体" w:hint="eastAsia"/>
                <w:color w:val="auto"/>
                <w:sz w:val="20"/>
                <w:szCs w:val="20"/>
                <w:highlight w:val="none"/>
                <w:lang w:val="en-US"/>
              </w:rPr>
              <w:t>200</w:t>
            </w:r>
            <w:r>
              <w:rPr>
                <w:rFonts w:ascii="宋体" w:eastAsia="宋体" w:hAnsi="宋体" w:cs="宋体" w:hint="eastAsia"/>
                <w:color w:val="auto"/>
                <w:sz w:val="20"/>
                <w:szCs w:val="20"/>
                <w:highlight w:val="none"/>
              </w:rPr>
              <w:t>万元以上大型设备＋其他固定资产</w:t>
            </w:r>
          </w:p>
        </w:tc>
      </w:tr>
      <w:tr>
        <w:tblPrEx>
          <w:tblW w:w="9439" w:type="dxa"/>
          <w:jc w:val="center"/>
          <w:tblInd w:w="0" w:type="dxa"/>
          <w:tblLayout w:type="fixed"/>
          <w:tblCellMar>
            <w:top w:w="0" w:type="dxa"/>
            <w:left w:w="0" w:type="dxa"/>
            <w:bottom w:w="0" w:type="dxa"/>
            <w:right w:w="0" w:type="dxa"/>
          </w:tblCellMar>
        </w:tblPrEx>
        <w:trPr>
          <w:trHeight w:val="285"/>
          <w:jc w:val="center"/>
        </w:trPr>
        <w:tc>
          <w:tcPr>
            <w:tcW w:w="727" w:type="dxa"/>
            <w:gridSpan w:val="2"/>
            <w:tcMar>
              <w:left w:w="108" w:type="dxa"/>
              <w:right w:w="108" w:type="dxa"/>
            </w:tcMar>
            <w:vAlign w:val="center"/>
          </w:tcPr>
          <w:p>
            <w:pPr>
              <w:keepNext w:val="0"/>
              <w:keepLines w:val="0"/>
              <w:widowControl/>
              <w:suppressLineNumbers w:val="0"/>
              <w:spacing w:before="100" w:beforeAutospacing="1" w:after="100" w:afterAutospacing="1"/>
              <w:ind w:left="0" w:right="0"/>
              <w:jc w:val="left"/>
              <w:rPr>
                <w:rFonts w:ascii="宋体" w:eastAsia="宋体" w:hAnsi="宋体" w:cs="宋体" w:hint="eastAsia"/>
                <w:color w:val="auto"/>
                <w:sz w:val="24"/>
                <w:szCs w:val="24"/>
                <w:highlight w:val="none"/>
                <w:lang w:val="en-US"/>
              </w:rPr>
            </w:pPr>
            <w:r>
              <w:rPr>
                <w:rFonts w:ascii="宋体" w:eastAsia="宋体" w:hAnsi="宋体" w:cs="宋体" w:hint="eastAsia"/>
                <w:color w:val="auto"/>
                <w:sz w:val="24"/>
                <w:szCs w:val="24"/>
                <w:highlight w:val="none"/>
                <w:lang w:val="en-US"/>
              </w:rPr>
              <w:t> </w:t>
            </w:r>
          </w:p>
        </w:tc>
        <w:tc>
          <w:tcPr>
            <w:tcW w:w="489" w:type="dxa"/>
            <w:gridSpan w:val="2"/>
            <w:tcMar>
              <w:left w:w="108" w:type="dxa"/>
              <w:right w:w="108" w:type="dxa"/>
            </w:tcMar>
            <w:vAlign w:val="center"/>
          </w:tcPr>
          <w:p>
            <w:pPr>
              <w:keepNext w:val="0"/>
              <w:keepLines w:val="0"/>
              <w:widowControl/>
              <w:suppressLineNumbers w:val="0"/>
              <w:spacing w:before="100" w:beforeAutospacing="1" w:after="100" w:afterAutospacing="1"/>
              <w:ind w:left="0" w:right="0"/>
              <w:jc w:val="left"/>
              <w:rPr>
                <w:rFonts w:ascii="宋体" w:eastAsia="宋体" w:hAnsi="宋体" w:cs="宋体" w:hint="eastAsia"/>
                <w:color w:val="auto"/>
                <w:sz w:val="24"/>
                <w:szCs w:val="24"/>
                <w:highlight w:val="none"/>
                <w:lang w:val="en-US"/>
              </w:rPr>
            </w:pPr>
            <w:r>
              <w:rPr>
                <w:rFonts w:ascii="宋体" w:eastAsia="宋体" w:hAnsi="宋体" w:cs="宋体" w:hint="eastAsia"/>
                <w:color w:val="auto"/>
                <w:sz w:val="24"/>
                <w:szCs w:val="24"/>
                <w:highlight w:val="none"/>
                <w:lang w:val="en-US"/>
              </w:rPr>
              <w:t> </w:t>
            </w:r>
          </w:p>
        </w:tc>
        <w:tc>
          <w:tcPr>
            <w:tcW w:w="8223" w:type="dxa"/>
            <w:gridSpan w:val="11"/>
            <w:tcMar>
              <w:left w:w="108" w:type="dxa"/>
              <w:right w:w="108" w:type="dxa"/>
            </w:tcMar>
            <w:vAlign w:val="center"/>
          </w:tcPr>
          <w:p>
            <w:pPr>
              <w:keepNext w:val="0"/>
              <w:keepLines w:val="0"/>
              <w:widowControl/>
              <w:suppressLineNumbers w:val="0"/>
              <w:spacing w:before="100" w:beforeAutospacing="1" w:after="100" w:afterAutospacing="1"/>
              <w:ind w:left="0" w:right="0"/>
              <w:jc w:val="left"/>
              <w:rPr>
                <w:color w:val="auto"/>
                <w:highlight w:val="none"/>
              </w:rPr>
            </w:pPr>
            <w:r>
              <w:rPr>
                <w:rFonts w:ascii="宋体" w:eastAsia="宋体" w:hAnsi="宋体" w:cs="宋体" w:hint="eastAsia"/>
                <w:color w:val="auto"/>
                <w:sz w:val="20"/>
                <w:szCs w:val="20"/>
                <w:highlight w:val="none"/>
                <w:lang w:val="en-US"/>
              </w:rPr>
              <w:t>3.</w:t>
            </w:r>
            <w:r>
              <w:rPr>
                <w:rFonts w:ascii="宋体" w:eastAsia="宋体" w:hAnsi="宋体" w:cs="宋体" w:hint="eastAsia"/>
                <w:color w:val="auto"/>
                <w:sz w:val="20"/>
                <w:szCs w:val="20"/>
                <w:highlight w:val="none"/>
              </w:rPr>
              <w:t>填报金额为资产“账面原值”。</w:t>
            </w:r>
          </w:p>
        </w:tc>
      </w:tr>
    </w:tbl>
    <w:p>
      <w:pPr>
        <w:keepNext w:val="0"/>
        <w:keepLines w:val="0"/>
        <w:pageBreakBefore w:val="0"/>
        <w:widowControl/>
        <w:suppressLineNumbers w:val="0"/>
        <w:kinsoku/>
        <w:wordWrap/>
        <w:overflowPunct/>
        <w:topLinePunct/>
        <w:autoSpaceDE/>
        <w:autoSpaceDN/>
        <w:bidi w:val="0"/>
        <w:adjustRightInd/>
        <w:snapToGrid/>
        <w:spacing w:beforeAutospacing="0" w:afterAutospacing="0" w:line="590" w:lineRule="exact"/>
        <w:ind w:left="0" w:right="0" w:firstLine="640" w:leftChars="0" w:rightChars="0" w:firstLineChars="200"/>
        <w:jc w:val="both"/>
        <w:textAlignment w:val="auto"/>
        <w:outlineLvl w:val="9"/>
        <w:rPr>
          <w:rFonts w:ascii="黑体" w:eastAsia="黑体" w:hAnsi="黑体" w:cs="黑体" w:hint="eastAsia"/>
          <w:color w:val="auto"/>
          <w:sz w:val="32"/>
          <w:szCs w:val="32"/>
        </w:rPr>
      </w:pPr>
      <w:r>
        <w:rPr>
          <w:rFonts w:ascii="方正黑体_GBK" w:eastAsia="方正黑体_GBK" w:hAnsi="方正黑体_GBK" w:cs="方正黑体_GBK" w:hint="eastAsia"/>
          <w:color w:val="auto"/>
          <w:sz w:val="32"/>
          <w:szCs w:val="32"/>
        </w:rPr>
        <w:t> </w:t>
      </w:r>
      <w:r>
        <w:rPr>
          <w:rFonts w:ascii="黑体" w:eastAsia="黑体" w:hAnsi="黑体" w:cs="黑体" w:hint="eastAsia"/>
          <w:color w:val="auto"/>
          <w:sz w:val="32"/>
          <w:szCs w:val="32"/>
        </w:rPr>
        <w:t>三、政府采购支出情况</w:t>
      </w:r>
    </w:p>
    <w:p>
      <w:pPr>
        <w:keepNext w:val="0"/>
        <w:keepLines w:val="0"/>
        <w:pageBreakBefore w:val="0"/>
        <w:widowControl/>
        <w:suppressLineNumbers w:val="0"/>
        <w:kinsoku/>
        <w:wordWrap/>
        <w:overflowPunct/>
        <w:topLinePunct/>
        <w:autoSpaceDE/>
        <w:autoSpaceDN/>
        <w:bidi w:val="0"/>
        <w:adjustRightInd/>
        <w:snapToGri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2021年度，部门政府采购支出总额</w:t>
      </w:r>
      <w:r>
        <w:rPr>
          <w:rFonts w:ascii="仿宋" w:eastAsia="仿宋" w:hAnsi="仿宋" w:cs="仿宋" w:hint="eastAsia"/>
          <w:color w:val="auto"/>
          <w:sz w:val="32"/>
          <w:szCs w:val="32"/>
          <w:lang w:val="en-US" w:eastAsia="zh-CN"/>
        </w:rPr>
        <w:t>0.81</w:t>
      </w:r>
      <w:r>
        <w:rPr>
          <w:rFonts w:ascii="仿宋" w:eastAsia="仿宋" w:hAnsi="仿宋" w:cs="仿宋" w:hint="eastAsia"/>
          <w:color w:val="auto"/>
          <w:sz w:val="32"/>
          <w:szCs w:val="32"/>
        </w:rPr>
        <w:t>万元，其中：政府采购货物支出</w:t>
      </w:r>
      <w:r>
        <w:rPr>
          <w:rFonts w:ascii="仿宋" w:eastAsia="仿宋" w:hAnsi="仿宋" w:cs="仿宋" w:hint="eastAsia"/>
          <w:color w:val="auto"/>
          <w:sz w:val="32"/>
          <w:szCs w:val="32"/>
          <w:lang w:val="en-US" w:eastAsia="zh-CN"/>
        </w:rPr>
        <w:t>0.81</w:t>
      </w:r>
      <w:r>
        <w:rPr>
          <w:rFonts w:ascii="仿宋" w:eastAsia="仿宋" w:hAnsi="仿宋" w:cs="仿宋" w:hint="eastAsia"/>
          <w:color w:val="auto"/>
          <w:sz w:val="32"/>
          <w:szCs w:val="32"/>
        </w:rPr>
        <w:t>万元；政府采购工程支出</w:t>
      </w:r>
      <w:r>
        <w:rPr>
          <w:rFonts w:ascii="仿宋" w:eastAsia="仿宋" w:hAnsi="仿宋" w:cs="仿宋" w:hint="eastAsia"/>
          <w:color w:val="auto"/>
          <w:sz w:val="32"/>
          <w:szCs w:val="32"/>
          <w:lang w:val="en-US" w:eastAsia="zh-CN"/>
        </w:rPr>
        <w:t>0.00</w:t>
      </w:r>
      <w:r>
        <w:rPr>
          <w:rFonts w:ascii="仿宋" w:eastAsia="仿宋" w:hAnsi="仿宋" w:cs="仿宋" w:hint="eastAsia"/>
          <w:color w:val="auto"/>
          <w:sz w:val="32"/>
          <w:szCs w:val="32"/>
        </w:rPr>
        <w:t>万元；政府采购服务支出</w:t>
      </w:r>
      <w:r>
        <w:rPr>
          <w:rFonts w:ascii="仿宋" w:eastAsia="仿宋" w:hAnsi="仿宋" w:cs="仿宋" w:hint="eastAsia"/>
          <w:color w:val="auto"/>
          <w:sz w:val="32"/>
          <w:szCs w:val="32"/>
          <w:lang w:val="en-US" w:eastAsia="zh-CN"/>
        </w:rPr>
        <w:t>0.00</w:t>
      </w:r>
      <w:r>
        <w:rPr>
          <w:rFonts w:ascii="仿宋" w:eastAsia="仿宋" w:hAnsi="仿宋" w:cs="仿宋" w:hint="eastAsia"/>
          <w:color w:val="auto"/>
          <w:sz w:val="32"/>
          <w:szCs w:val="32"/>
        </w:rPr>
        <w:t>万元。授予中小企业合同金额</w:t>
      </w:r>
      <w:r>
        <w:rPr>
          <w:rFonts w:ascii="仿宋" w:eastAsia="仿宋" w:hAnsi="仿宋" w:cs="仿宋" w:hint="eastAsia"/>
          <w:color w:val="auto"/>
          <w:sz w:val="32"/>
          <w:szCs w:val="32"/>
          <w:lang w:val="en-US" w:eastAsia="zh-CN"/>
        </w:rPr>
        <w:t>0.00</w:t>
      </w:r>
      <w:r>
        <w:rPr>
          <w:rFonts w:ascii="仿宋" w:eastAsia="仿宋" w:hAnsi="仿宋" w:cs="仿宋" w:hint="eastAsia"/>
          <w:color w:val="auto"/>
          <w:sz w:val="32"/>
          <w:szCs w:val="32"/>
        </w:rPr>
        <w:t>万元，占政府采购支出总额的</w:t>
      </w:r>
      <w:r>
        <w:rPr>
          <w:rFonts w:ascii="仿宋" w:eastAsia="仿宋" w:hAnsi="仿宋" w:cs="仿宋" w:hint="eastAsia"/>
          <w:color w:val="auto"/>
          <w:sz w:val="32"/>
          <w:szCs w:val="32"/>
          <w:lang w:val="en-US" w:eastAsia="zh-CN"/>
        </w:rPr>
        <w:t>0.00</w:t>
      </w:r>
      <w:r>
        <w:rPr>
          <w:rFonts w:ascii="仿宋" w:eastAsia="仿宋" w:hAnsi="仿宋" w:cs="仿宋" w:hint="eastAsia"/>
          <w:color w:val="auto"/>
          <w:sz w:val="32"/>
          <w:szCs w:val="32"/>
        </w:rPr>
        <w:t>%。</w:t>
      </w:r>
    </w:p>
    <w:p>
      <w:pPr>
        <w:keepNext w:val="0"/>
        <w:keepLines w:val="0"/>
        <w:pageBreakBefore w:val="0"/>
        <w:widowControl/>
        <w:suppressLineNumbers w:val="0"/>
        <w:kinsoku/>
        <w:wordWrap/>
        <w:overflowPunct/>
        <w:topLinePunct/>
        <w:autoSpaceDE/>
        <w:autoSpaceDN/>
        <w:bidi w:val="0"/>
        <w:adjustRightInd/>
        <w:snapToGrid/>
        <w:spacing w:beforeAutospacing="0" w:afterAutospacing="0" w:line="590" w:lineRule="exact"/>
        <w:ind w:left="0" w:right="0" w:firstLine="640" w:leftChars="0" w:rightChars="0" w:firstLineChars="200"/>
        <w:jc w:val="both"/>
        <w:textAlignment w:val="auto"/>
        <w:outlineLvl w:val="9"/>
        <w:rPr>
          <w:rFonts w:ascii="黑体" w:eastAsia="黑体" w:hAnsi="黑体" w:cs="黑体" w:hint="eastAsia"/>
          <w:color w:val="auto"/>
          <w:sz w:val="32"/>
          <w:szCs w:val="32"/>
        </w:rPr>
      </w:pPr>
      <w:r>
        <w:rPr>
          <w:rFonts w:ascii="黑体" w:eastAsia="黑体" w:hAnsi="黑体" w:cs="黑体" w:hint="eastAsia"/>
          <w:color w:val="auto"/>
          <w:sz w:val="32"/>
          <w:szCs w:val="32"/>
        </w:rPr>
        <w:t>四、部门绩效自评情况</w:t>
      </w:r>
    </w:p>
    <w:p>
      <w:pPr>
        <w:keepNext w:val="0"/>
        <w:keepLines w:val="0"/>
        <w:pageBreakBefore w:val="0"/>
        <w:widowControl/>
        <w:suppressLineNumbers w:val="0"/>
        <w:kinsoku/>
        <w:wordWrap/>
        <w:overflowPunct/>
        <w:topLinePunct/>
        <w:autoSpaceDE/>
        <w:autoSpaceDN/>
        <w:bidi w:val="0"/>
        <w:adjustRightInd/>
        <w:snapToGri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lang w:val="en-US" w:eastAsia="zh-CN"/>
        </w:rPr>
      </w:pPr>
      <w:r>
        <w:rPr>
          <w:rFonts w:ascii="仿宋" w:eastAsia="仿宋" w:hAnsi="仿宋" w:cs="仿宋" w:hint="eastAsia"/>
          <w:color w:val="auto"/>
          <w:sz w:val="32"/>
          <w:szCs w:val="32"/>
          <w:lang w:val="en-US" w:eastAsia="zh-CN"/>
        </w:rPr>
        <w:t>根据澄江市财政局印发的《关于开展2021年度市级部门整体支出和项目支出预算绩效自评工作的通知》，</w:t>
      </w:r>
      <w:r>
        <w:rPr>
          <w:rFonts w:ascii="仿宋" w:eastAsia="仿宋" w:hAnsi="仿宋" w:cs="仿宋" w:hint="eastAsia"/>
          <w:color w:val="auto"/>
          <w:sz w:val="32"/>
          <w:szCs w:val="32"/>
          <w:lang w:eastAsia="zh-CN"/>
        </w:rPr>
        <w:t>澄江市社会保险局</w:t>
      </w:r>
      <w:r>
        <w:rPr>
          <w:rFonts w:ascii="仿宋" w:eastAsia="仿宋" w:hAnsi="仿宋" w:cs="仿宋" w:hint="eastAsia"/>
          <w:color w:val="auto"/>
          <w:sz w:val="32"/>
          <w:szCs w:val="32"/>
          <w:lang w:val="en-US" w:eastAsia="zh-CN"/>
        </w:rPr>
        <w:t>对2021年项目支出进行了绩效自评，共涉及预算项目7个，其中，自评等级为“优”的6个，“良”的1个，“中”的0个，“差”的0个。</w:t>
      </w:r>
    </w:p>
    <w:p>
      <w:pPr>
        <w:keepNext w:val="0"/>
        <w:keepLines w:val="0"/>
        <w:pageBreakBefore w:val="0"/>
        <w:widowControl/>
        <w:suppressLineNumbers w:val="0"/>
        <w:kinsoku/>
        <w:wordWrap/>
        <w:overflowPunct/>
        <w:topLinePunct/>
        <w:autoSpaceDE/>
        <w:autoSpaceDN/>
        <w:bidi w:val="0"/>
        <w:adjustRightInd/>
        <w:snapToGri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kern w:val="0"/>
          <w:sz w:val="32"/>
          <w:szCs w:val="32"/>
        </w:rPr>
      </w:pPr>
      <w:r>
        <w:rPr>
          <w:rFonts w:ascii="仿宋" w:eastAsia="仿宋" w:hAnsi="仿宋" w:cs="仿宋" w:hint="eastAsia"/>
          <w:color w:val="auto"/>
          <w:kern w:val="0"/>
          <w:sz w:val="32"/>
          <w:szCs w:val="32"/>
        </w:rPr>
        <w:t>部门绩效自评情况详见附表（附表10－附表12）</w:t>
      </w:r>
      <w:r>
        <w:rPr>
          <w:rFonts w:ascii="仿宋" w:eastAsia="仿宋" w:hAnsi="仿宋" w:cs="仿宋" w:hint="eastAsia"/>
          <w:color w:val="auto"/>
          <w:kern w:val="0"/>
          <w:sz w:val="32"/>
          <w:szCs w:val="32"/>
          <w:lang w:eastAsia="zh-CN"/>
        </w:rPr>
        <w:t>。</w:t>
      </w:r>
    </w:p>
    <w:p>
      <w:pPr>
        <w:keepNext w:val="0"/>
        <w:keepLines w:val="0"/>
        <w:pageBreakBefore w:val="0"/>
        <w:widowControl/>
        <w:suppressLineNumbers w:val="0"/>
        <w:kinsoku/>
        <w:wordWrap/>
        <w:overflowPunct/>
        <w:topLinePunct/>
        <w:autoSpaceDE/>
        <w:autoSpaceDN/>
        <w:bidi w:val="0"/>
        <w:adjustRightInd/>
        <w:snapToGrid/>
        <w:spacing w:beforeAutospacing="0" w:afterAutospacing="0" w:line="590" w:lineRule="exact"/>
        <w:ind w:left="0" w:right="0" w:firstLine="640" w:leftChars="0" w:rightChars="0" w:firstLineChars="200"/>
        <w:jc w:val="both"/>
        <w:textAlignment w:val="auto"/>
        <w:outlineLvl w:val="9"/>
        <w:rPr>
          <w:rFonts w:ascii="黑体" w:eastAsia="黑体" w:hAnsi="黑体" w:cs="黑体" w:hint="eastAsia"/>
          <w:color w:val="auto"/>
          <w:sz w:val="32"/>
          <w:szCs w:val="32"/>
        </w:rPr>
      </w:pPr>
      <w:r>
        <w:rPr>
          <w:rFonts w:ascii="黑体" w:eastAsia="黑体" w:hAnsi="黑体" w:cs="黑体" w:hint="eastAsia"/>
          <w:color w:val="auto"/>
          <w:sz w:val="32"/>
          <w:szCs w:val="32"/>
        </w:rPr>
        <w:t>五、其他重要事项情况说明</w:t>
      </w:r>
    </w:p>
    <w:p>
      <w:pPr>
        <w:keepNext w:val="0"/>
        <w:keepLines w:val="0"/>
        <w:pageBreakBefore w:val="0"/>
        <w:widowControl/>
        <w:suppressLineNumbers w:val="0"/>
        <w:kinsoku/>
        <w:wordWrap/>
        <w:overflowPunct/>
        <w:topLinePunct/>
        <w:autoSpaceDE/>
        <w:autoSpaceDN/>
        <w:bidi w:val="0"/>
        <w:adjustRightInd/>
        <w:snapToGri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lang w:eastAsia="zh-CN"/>
        </w:rPr>
        <w:t>无</w:t>
      </w:r>
      <w:r>
        <w:rPr>
          <w:rFonts w:ascii="仿宋" w:eastAsia="仿宋" w:hAnsi="仿宋" w:cs="仿宋" w:hint="eastAsia"/>
          <w:color w:val="auto"/>
          <w:sz w:val="32"/>
          <w:szCs w:val="32"/>
        </w:rPr>
        <w:t>。</w:t>
      </w:r>
    </w:p>
    <w:p>
      <w:pPr>
        <w:keepNext w:val="0"/>
        <w:keepLines w:val="0"/>
        <w:pageBreakBefore w:val="0"/>
        <w:widowControl/>
        <w:suppressLineNumbers w:val="0"/>
        <w:kinsoku/>
        <w:wordWrap/>
        <w:overflowPunct/>
        <w:topLinePunct/>
        <w:autoSpaceDE/>
        <w:autoSpaceDN/>
        <w:bidi w:val="0"/>
        <w:adjustRightInd/>
        <w:snapToGrid/>
        <w:spacing w:beforeAutospacing="0" w:afterAutospacing="0" w:line="590" w:lineRule="exact"/>
        <w:ind w:left="0" w:right="0" w:firstLine="640" w:leftChars="0" w:rightChars="0" w:firstLineChars="200"/>
        <w:jc w:val="both"/>
        <w:textAlignment w:val="auto"/>
        <w:outlineLvl w:val="9"/>
        <w:rPr>
          <w:rFonts w:ascii="黑体" w:eastAsia="黑体" w:hAnsi="黑体" w:cs="黑体" w:hint="eastAsia"/>
          <w:color w:val="auto"/>
          <w:sz w:val="32"/>
          <w:szCs w:val="32"/>
        </w:rPr>
      </w:pPr>
      <w:r>
        <w:rPr>
          <w:rFonts w:ascii="黑体" w:eastAsia="黑体" w:hAnsi="黑体" w:cs="黑体" w:hint="eastAsia"/>
          <w:color w:val="auto"/>
          <w:sz w:val="32"/>
          <w:szCs w:val="32"/>
        </w:rPr>
        <w:t>六、相关口径说明</w:t>
      </w:r>
    </w:p>
    <w:p>
      <w:pPr>
        <w:keepNext w:val="0"/>
        <w:keepLines w:val="0"/>
        <w:pageBreakBefore w:val="0"/>
        <w:widowControl/>
        <w:suppressLineNumbers w:val="0"/>
        <w:kinsoku/>
        <w:wordWrap/>
        <w:overflowPunct/>
        <w:topLinePunct/>
        <w:autoSpaceDE/>
        <w:autoSpaceDN/>
        <w:bidi w:val="0"/>
        <w:adjustRightInd/>
        <w:snapToGri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（一）基本支出中人员经费包括工资福利支出和对个人和家庭的补助，公用经费包括商品和服务支出、资本性支出等人员经费以外的支出。</w:t>
      </w:r>
    </w:p>
    <w:p>
      <w:pPr>
        <w:keepNext w:val="0"/>
        <w:keepLines w:val="0"/>
        <w:pageBreakBefore w:val="0"/>
        <w:widowControl/>
        <w:suppressLineNumbers w:val="0"/>
        <w:kinsoku/>
        <w:wordWrap/>
        <w:overflowPunct/>
        <w:topLinePunct/>
        <w:autoSpaceDE/>
        <w:autoSpaceDN/>
        <w:bidi w:val="0"/>
        <w:adjustRightInd/>
        <w:snapToGri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（二）机关运行经费指行政单位和参照公务员法管理的事业单位使用一般公共预算财政拨款安排的基本支出中的公用经费支出。</w:t>
      </w:r>
    </w:p>
    <w:p>
      <w:pPr>
        <w:keepNext w:val="0"/>
        <w:keepLines w:val="0"/>
        <w:pageBreakBefore w:val="0"/>
        <w:widowControl/>
        <w:suppressLineNumbers w:val="0"/>
        <w:kinsoku/>
        <w:wordWrap/>
        <w:overflowPunct/>
        <w:topLinePunct/>
        <w:autoSpaceDE/>
        <w:autoSpaceDN/>
        <w:bidi w:val="0"/>
        <w:adjustRightInd/>
        <w:snapToGri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widowControl/>
        <w:suppressLineNumbers w:val="0"/>
        <w:kinsoku/>
        <w:wordWrap/>
        <w:overflowPunct/>
        <w:topLinePunct/>
        <w:autoSpaceDE/>
        <w:autoSpaceDN/>
        <w:bidi w:val="0"/>
        <w:adjustRightInd/>
        <w:snapToGri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四）“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keepNext w:val="0"/>
        <w:keepLines w:val="0"/>
        <w:pageBreakBefore w:val="0"/>
        <w:widowControl/>
        <w:suppressLineNumbers w:val="0"/>
        <w:kinsoku/>
        <w:wordWrap/>
        <w:overflowPunct/>
        <w:topLinePunct/>
        <w:autoSpaceDE/>
        <w:autoSpaceDN/>
        <w:bidi w:val="0"/>
        <w:adjustRightInd/>
        <w:snapToGri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仿宋" w:eastAsia="仿宋" w:hAnsi="仿宋" w:cs="仿宋" w:hint="eastAsia"/>
          <w:color w:val="auto"/>
          <w:sz w:val="32"/>
          <w:szCs w:val="32"/>
        </w:rPr>
        <w:t> </w:t>
      </w:r>
    </w:p>
    <w:p>
      <w:pPr>
        <w:keepNext w:val="0"/>
        <w:keepLines w:val="0"/>
        <w:pageBreakBefore w:val="0"/>
        <w:widowControl/>
        <w:suppressLineNumbers w:val="0"/>
        <w:kinsoku/>
        <w:wordWrap/>
        <w:overflowPunct/>
        <w:topLinePunct/>
        <w:autoSpaceDE/>
        <w:autoSpaceDN/>
        <w:bidi w:val="0"/>
        <w:adjustRightInd/>
        <w:snapToGrid/>
        <w:spacing w:beforeAutospacing="0" w:afterAutospacing="0" w:line="590" w:lineRule="exact"/>
        <w:ind w:left="0" w:right="0" w:firstLine="720" w:leftChars="0" w:rightChars="0" w:firstLineChars="200"/>
        <w:jc w:val="center"/>
        <w:textAlignment w:val="auto"/>
        <w:outlineLvl w:val="9"/>
        <w:rPr>
          <w:rFonts w:ascii="黑体" w:eastAsia="黑体" w:hAnsi="黑体" w:cs="黑体" w:hint="eastAsia"/>
          <w:color w:val="auto"/>
          <w:sz w:val="36"/>
          <w:szCs w:val="36"/>
        </w:rPr>
      </w:pPr>
      <w:r>
        <w:rPr>
          <w:rFonts w:ascii="黑体" w:eastAsia="黑体" w:hAnsi="黑体" w:cs="黑体" w:hint="eastAsia"/>
          <w:color w:val="auto"/>
          <w:sz w:val="36"/>
          <w:szCs w:val="36"/>
        </w:rPr>
        <w:t>第五部分  名词解释</w:t>
      </w:r>
    </w:p>
    <w:p>
      <w:pPr>
        <w:keepNext w:val="0"/>
        <w:keepLines w:val="0"/>
        <w:pageBreakBefore w:val="0"/>
        <w:widowControl/>
        <w:suppressLineNumbers w:val="0"/>
        <w:kinsoku/>
        <w:wordWrap/>
        <w:overflowPunct/>
        <w:topLinePunct/>
        <w:autoSpaceDE/>
        <w:autoSpaceDN/>
        <w:bidi w:val="0"/>
        <w:adjustRightInd/>
        <w:snapToGri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黑体" w:eastAsia="黑体" w:hAnsi="黑体" w:cs="黑体" w:hint="eastAsia"/>
          <w:color w:val="auto"/>
          <w:sz w:val="32"/>
          <w:szCs w:val="32"/>
        </w:rPr>
        <w:t>一、政府采购：</w:t>
      </w:r>
      <w:r>
        <w:rPr>
          <w:rFonts w:ascii="仿宋" w:eastAsia="仿宋" w:hAnsi="仿宋" w:cs="仿宋" w:hint="eastAsia"/>
          <w:color w:val="auto"/>
          <w:sz w:val="32"/>
          <w:szCs w:val="32"/>
        </w:rPr>
        <w:t>是指各级国家机关、事业单位和团体组织，使用财政性资金采购依法制定的集中采购目录以内的或者采购限额标准以上的货物、工程和服务的行为。</w:t>
      </w:r>
    </w:p>
    <w:p>
      <w:pPr>
        <w:keepNext w:val="0"/>
        <w:keepLines w:val="0"/>
        <w:pageBreakBefore w:val="0"/>
        <w:widowControl/>
        <w:suppressLineNumbers w:val="0"/>
        <w:kinsoku/>
        <w:wordWrap/>
        <w:overflowPunct/>
        <w:topLinePunct/>
        <w:autoSpaceDE/>
        <w:autoSpaceDN/>
        <w:bidi w:val="0"/>
        <w:adjustRightInd/>
        <w:snapToGri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黑体" w:eastAsia="黑体" w:hAnsi="黑体" w:cs="黑体" w:hint="eastAsia"/>
          <w:color w:val="auto"/>
          <w:sz w:val="32"/>
          <w:szCs w:val="32"/>
        </w:rPr>
        <w:t>二、一般公共预算收入：</w:t>
      </w:r>
      <w:r>
        <w:rPr>
          <w:rFonts w:ascii="仿宋" w:eastAsia="仿宋" w:hAnsi="仿宋" w:cs="仿宋" w:hint="eastAsia"/>
          <w:color w:val="auto"/>
          <w:sz w:val="32"/>
          <w:szCs w:val="32"/>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keepNext w:val="0"/>
        <w:keepLines w:val="0"/>
        <w:pageBreakBefore w:val="0"/>
        <w:widowControl/>
        <w:suppressLineNumbers w:val="0"/>
        <w:kinsoku/>
        <w:wordWrap/>
        <w:overflowPunct/>
        <w:topLinePunct/>
        <w:autoSpaceDE/>
        <w:autoSpaceDN/>
        <w:bidi w:val="0"/>
        <w:adjustRightInd/>
        <w:snapToGrid/>
        <w:spacing w:beforeAutospacing="0" w:afterAutospacing="0" w:line="590" w:lineRule="exact"/>
        <w:ind w:left="0" w:right="0" w:firstLine="640" w:leftChars="0" w:rightChars="0" w:firstLineChars="200"/>
        <w:jc w:val="both"/>
        <w:textAlignment w:val="auto"/>
        <w:outlineLvl w:val="9"/>
        <w:rPr>
          <w:rFonts w:ascii="仿宋" w:eastAsia="仿宋" w:hAnsi="仿宋" w:cs="仿宋" w:hint="eastAsia"/>
          <w:color w:val="auto"/>
          <w:sz w:val="32"/>
          <w:szCs w:val="32"/>
        </w:rPr>
      </w:pPr>
      <w:r>
        <w:rPr>
          <w:rFonts w:ascii="黑体" w:eastAsia="黑体" w:hAnsi="黑体" w:cs="黑体" w:hint="eastAsia"/>
          <w:color w:val="auto"/>
          <w:sz w:val="32"/>
          <w:szCs w:val="32"/>
        </w:rPr>
        <w:t>三、一般公共预算支出：</w:t>
      </w:r>
      <w:r>
        <w:rPr>
          <w:rFonts w:ascii="仿宋" w:eastAsia="仿宋" w:hAnsi="仿宋" w:cs="仿宋" w:hint="eastAsia"/>
          <w:color w:val="auto"/>
          <w:sz w:val="32"/>
          <w:szCs w:val="32"/>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keepNext w:val="0"/>
        <w:keepLines w:val="0"/>
        <w:pageBreakBefore w:val="0"/>
        <w:widowControl/>
        <w:suppressLineNumbers w:val="0"/>
        <w:kinsoku/>
        <w:wordWrap/>
        <w:overflowPunct/>
        <w:topLinePunct/>
        <w:autoSpaceDE/>
        <w:autoSpaceDN/>
        <w:bidi w:val="0"/>
        <w:adjustRightInd/>
        <w:snapToGrid/>
        <w:spacing w:beforeAutospacing="0" w:afterAutospacing="0" w:line="590" w:lineRule="exact"/>
        <w:ind w:left="0" w:right="0" w:firstLine="640" w:leftChars="0" w:rightChars="0" w:firstLineChars="200"/>
        <w:jc w:val="both"/>
        <w:textAlignment w:val="auto"/>
        <w:outlineLvl w:val="9"/>
        <w:rPr>
          <w:rFonts w:ascii="Arial" w:eastAsia="Arial" w:hAnsi="Arial" w:cs="Arial"/>
          <w:b/>
          <w:sz w:val="36"/>
        </w:rPr>
      </w:pPr>
      <w:r>
        <w:rPr>
          <w:rFonts w:ascii="黑体" w:eastAsia="黑体" w:hAnsi="黑体" w:cs="黑体" w:hint="eastAsia"/>
          <w:color w:val="auto"/>
          <w:sz w:val="32"/>
          <w:szCs w:val="32"/>
        </w:rPr>
        <w:t>四、“三公”经费：</w:t>
      </w:r>
      <w:r>
        <w:rPr>
          <w:rFonts w:ascii="仿宋" w:eastAsia="仿宋" w:hAnsi="仿宋" w:cs="仿宋" w:hint="eastAsia"/>
          <w:color w:val="auto"/>
          <w:sz w:val="32"/>
          <w:szCs w:val="32"/>
        </w:rPr>
        <w:t>“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rPr>
          <w:rFonts w:ascii="Arial" w:eastAsia="Arial" w:hAnsi="Arial" w:cs="Arial"/>
          <w:b/>
          <w:sz w:val="36"/>
        </w:rPr>
      </w:pPr>
      <w:r>
        <w:rPr>
          <w:rFonts w:ascii="Arial" w:eastAsia="Arial" w:hAnsi="Arial" w:cs="Arial"/>
          <w:b/>
          <w:sz w:val="36"/>
        </w:rPr>
        <w:t>监督索引号53042200431600101111</w:t>
      </w:r>
    </w:p>
    <w:sectPr>
      <w:headerReference w:type="default" r:id="rId5"/>
      <w:footerReference w:type="default" r:id="rId6"/>
      <w:pgSz w:w="11915" w:h="16851"/>
      <w:pgMar w:top="1440" w:right="1800" w:bottom="1440" w:left="180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noPunctuationKerning/>
  <w:characterSpacingControl w:val="doNotCompress"/>
  <w:compat>
    <w:spaceForUL/>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19A117C"/>
    <w:rsid w:val="020C07E7"/>
    <w:rsid w:val="02445310"/>
    <w:rsid w:val="02F83040"/>
    <w:rsid w:val="0339769D"/>
    <w:rsid w:val="033D03B2"/>
    <w:rsid w:val="03C57B76"/>
    <w:rsid w:val="03F12AC1"/>
    <w:rsid w:val="04D11149"/>
    <w:rsid w:val="05EE1C4C"/>
    <w:rsid w:val="05FB49E4"/>
    <w:rsid w:val="06A917AC"/>
    <w:rsid w:val="07481ED4"/>
    <w:rsid w:val="074961CD"/>
    <w:rsid w:val="0782295E"/>
    <w:rsid w:val="07CD5256"/>
    <w:rsid w:val="08460007"/>
    <w:rsid w:val="097550DF"/>
    <w:rsid w:val="097B369D"/>
    <w:rsid w:val="0A0C58C0"/>
    <w:rsid w:val="0A6F16F6"/>
    <w:rsid w:val="0AF0559C"/>
    <w:rsid w:val="0B0427A3"/>
    <w:rsid w:val="0B2C3157"/>
    <w:rsid w:val="0BAD33CA"/>
    <w:rsid w:val="0BE064B2"/>
    <w:rsid w:val="0CCC4DBE"/>
    <w:rsid w:val="0D2E12AA"/>
    <w:rsid w:val="0D672667"/>
    <w:rsid w:val="0DA7607D"/>
    <w:rsid w:val="0DE71327"/>
    <w:rsid w:val="0E1D5803"/>
    <w:rsid w:val="0E685A54"/>
    <w:rsid w:val="0ED937E2"/>
    <w:rsid w:val="0F236873"/>
    <w:rsid w:val="11130B03"/>
    <w:rsid w:val="118942B6"/>
    <w:rsid w:val="11BF4E65"/>
    <w:rsid w:val="139E0C8E"/>
    <w:rsid w:val="159C6759"/>
    <w:rsid w:val="1684150F"/>
    <w:rsid w:val="16B314FB"/>
    <w:rsid w:val="1746392E"/>
    <w:rsid w:val="1B730DB8"/>
    <w:rsid w:val="1C40349F"/>
    <w:rsid w:val="1CB249D5"/>
    <w:rsid w:val="1D3C5251"/>
    <w:rsid w:val="1D727358"/>
    <w:rsid w:val="1DAE527B"/>
    <w:rsid w:val="1DD35A8F"/>
    <w:rsid w:val="1E962A2A"/>
    <w:rsid w:val="1F8256A1"/>
    <w:rsid w:val="1FC168E6"/>
    <w:rsid w:val="21942FAA"/>
    <w:rsid w:val="23F07D71"/>
    <w:rsid w:val="243301F4"/>
    <w:rsid w:val="25F26187"/>
    <w:rsid w:val="2622773F"/>
    <w:rsid w:val="26C16A15"/>
    <w:rsid w:val="27BA5AAC"/>
    <w:rsid w:val="27EB0106"/>
    <w:rsid w:val="281E459C"/>
    <w:rsid w:val="281F0E28"/>
    <w:rsid w:val="28773340"/>
    <w:rsid w:val="29617C0D"/>
    <w:rsid w:val="299924A6"/>
    <w:rsid w:val="2A742C0E"/>
    <w:rsid w:val="2A79329D"/>
    <w:rsid w:val="2AA60CFB"/>
    <w:rsid w:val="2AF602C9"/>
    <w:rsid w:val="2B080266"/>
    <w:rsid w:val="2C742BEF"/>
    <w:rsid w:val="2D5A5369"/>
    <w:rsid w:val="2E2C1E5C"/>
    <w:rsid w:val="30DB0110"/>
    <w:rsid w:val="31027B5D"/>
    <w:rsid w:val="31115DE9"/>
    <w:rsid w:val="31D9435F"/>
    <w:rsid w:val="336662C7"/>
    <w:rsid w:val="341F168E"/>
    <w:rsid w:val="37ED22F4"/>
    <w:rsid w:val="39653933"/>
    <w:rsid w:val="39941CE0"/>
    <w:rsid w:val="39C730CE"/>
    <w:rsid w:val="39FC2115"/>
    <w:rsid w:val="3A48764B"/>
    <w:rsid w:val="3A7C2E0C"/>
    <w:rsid w:val="3BA14855"/>
    <w:rsid w:val="3BD123AD"/>
    <w:rsid w:val="3D327BFE"/>
    <w:rsid w:val="3EC11115"/>
    <w:rsid w:val="3FEC3C72"/>
    <w:rsid w:val="409D5C4A"/>
    <w:rsid w:val="410E46AA"/>
    <w:rsid w:val="413A0103"/>
    <w:rsid w:val="42E661E9"/>
    <w:rsid w:val="43BE3054"/>
    <w:rsid w:val="44B53F9D"/>
    <w:rsid w:val="45732A25"/>
    <w:rsid w:val="45AA4C1D"/>
    <w:rsid w:val="46437387"/>
    <w:rsid w:val="46DA3467"/>
    <w:rsid w:val="47483920"/>
    <w:rsid w:val="477A0CE5"/>
    <w:rsid w:val="47D735ED"/>
    <w:rsid w:val="489652EB"/>
    <w:rsid w:val="4A113E78"/>
    <w:rsid w:val="4A40212D"/>
    <w:rsid w:val="4AAB321B"/>
    <w:rsid w:val="4B1E6F13"/>
    <w:rsid w:val="4C304139"/>
    <w:rsid w:val="4C571B4F"/>
    <w:rsid w:val="4D700734"/>
    <w:rsid w:val="4DCA3E51"/>
    <w:rsid w:val="4E27150D"/>
    <w:rsid w:val="4E416869"/>
    <w:rsid w:val="4E435FF5"/>
    <w:rsid w:val="4F6C55A7"/>
    <w:rsid w:val="4FD97855"/>
    <w:rsid w:val="501245C6"/>
    <w:rsid w:val="52D23BE5"/>
    <w:rsid w:val="54F235CF"/>
    <w:rsid w:val="55F70D3A"/>
    <w:rsid w:val="571A23BB"/>
    <w:rsid w:val="57B97873"/>
    <w:rsid w:val="583B1F68"/>
    <w:rsid w:val="58813A8B"/>
    <w:rsid w:val="59BB0DCB"/>
    <w:rsid w:val="5A456067"/>
    <w:rsid w:val="5AF51BB0"/>
    <w:rsid w:val="5B2517B3"/>
    <w:rsid w:val="5B7C533A"/>
    <w:rsid w:val="5B9F4DA5"/>
    <w:rsid w:val="5BAB1F28"/>
    <w:rsid w:val="5BBB4233"/>
    <w:rsid w:val="5C041A74"/>
    <w:rsid w:val="5C6F04FB"/>
    <w:rsid w:val="5CD73EFC"/>
    <w:rsid w:val="5DF22F94"/>
    <w:rsid w:val="5DF231C6"/>
    <w:rsid w:val="600542DF"/>
    <w:rsid w:val="602C4569"/>
    <w:rsid w:val="61036512"/>
    <w:rsid w:val="61761EE8"/>
    <w:rsid w:val="62C67C43"/>
    <w:rsid w:val="63380FD0"/>
    <w:rsid w:val="639969AA"/>
    <w:rsid w:val="64314C2B"/>
    <w:rsid w:val="65A01D2C"/>
    <w:rsid w:val="66870C71"/>
    <w:rsid w:val="670361DE"/>
    <w:rsid w:val="68052F55"/>
    <w:rsid w:val="6A6105F8"/>
    <w:rsid w:val="6AA84621"/>
    <w:rsid w:val="6CAA1369"/>
    <w:rsid w:val="6CB76A5A"/>
    <w:rsid w:val="6CBF2403"/>
    <w:rsid w:val="6D980CCF"/>
    <w:rsid w:val="6DB95A68"/>
    <w:rsid w:val="6DC14ACA"/>
    <w:rsid w:val="6DEB398B"/>
    <w:rsid w:val="6DF00A44"/>
    <w:rsid w:val="6E295E6F"/>
    <w:rsid w:val="6EC462D7"/>
    <w:rsid w:val="6F5819A9"/>
    <w:rsid w:val="6F624340"/>
    <w:rsid w:val="6FB9382D"/>
    <w:rsid w:val="6FFB68D6"/>
    <w:rsid w:val="71091524"/>
    <w:rsid w:val="711C1454"/>
    <w:rsid w:val="713C4660"/>
    <w:rsid w:val="716A472E"/>
    <w:rsid w:val="720D0868"/>
    <w:rsid w:val="72BF752E"/>
    <w:rsid w:val="730C4E99"/>
    <w:rsid w:val="73540AEC"/>
    <w:rsid w:val="73FE6F73"/>
    <w:rsid w:val="762620CD"/>
    <w:rsid w:val="762D406F"/>
    <w:rsid w:val="78B36A9C"/>
    <w:rsid w:val="78E021B5"/>
    <w:rsid w:val="7A306960"/>
    <w:rsid w:val="7A9D073B"/>
    <w:rsid w:val="7ACB165A"/>
    <w:rsid w:val="7AF2447E"/>
    <w:rsid w:val="7B790C18"/>
    <w:rsid w:val="7BF24E6E"/>
    <w:rsid w:val="7C1E4409"/>
    <w:rsid w:val="7C724363"/>
    <w:rsid w:val="7CE1012A"/>
    <w:rsid w:val="7DCD18CD"/>
    <w:rsid w:val="7EA923DC"/>
    <w:rsid w:val="7F6B413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qFormat="1"/>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qFormat="1"/>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NormalIndent"/>
    <w:qFormat/>
    <w:pPr>
      <w:spacing w:after="200" w:line="276" w:lineRule="auto"/>
      <w:jc w:val="left"/>
    </w:pPr>
    <w:rPr>
      <w:rFonts w:ascii="宋体" w:eastAsia="宋体" w:hAnsi="宋体" w:cs="宋体"/>
      <w:kern w:val="0"/>
      <w:sz w:val="24"/>
      <w:szCs w:val="24"/>
      <w:lang w:val="en-US" w:eastAsia="zh-CN" w:bidi="ar"/>
    </w:rPr>
  </w:style>
  <w:style w:type="paragraph" w:styleId="Heading1">
    <w:name w:val="heading 1"/>
    <w:basedOn w:val="Normal"/>
    <w:next w:val="Normal"/>
    <w:qFormat/>
    <w:pPr>
      <w:spacing w:before="100" w:beforeAutospacing="1" w:after="100" w:afterAutospacing="1"/>
      <w:jc w:val="left"/>
      <w:outlineLvl w:val="0"/>
    </w:pPr>
    <w:rPr>
      <w:rFonts w:ascii="宋体" w:eastAsia="宋体" w:hAnsi="宋体" w:cs="宋体" w:hint="eastAsia"/>
      <w:b/>
      <w:kern w:val="44"/>
      <w:sz w:val="48"/>
      <w:szCs w:val="48"/>
      <w:lang w:val="en-US" w:eastAsia="zh-CN" w:bidi="ar"/>
    </w:rPr>
  </w:style>
  <w:style w:type="paragraph" w:styleId="Heading2">
    <w:name w:val="heading 2"/>
    <w:basedOn w:val="Normal"/>
    <w:next w:val="Normal"/>
    <w:unhideWhenUsed/>
    <w:qFormat/>
    <w:pPr>
      <w:spacing w:before="100" w:beforeAutospacing="1" w:after="100" w:afterAutospacing="1"/>
      <w:jc w:val="left"/>
      <w:outlineLvl w:val="1"/>
    </w:pPr>
    <w:rPr>
      <w:rFonts w:ascii="宋体" w:eastAsia="宋体" w:hAnsi="宋体" w:cs="宋体" w:hint="eastAsia"/>
      <w:b/>
      <w:kern w:val="0"/>
      <w:sz w:val="36"/>
      <w:szCs w:val="36"/>
      <w:lang w:val="en-US" w:eastAsia="zh-CN" w:bidi="ar"/>
    </w:rPr>
  </w:style>
  <w:style w:type="paragraph" w:styleId="Heading3">
    <w:name w:val="heading 3"/>
    <w:basedOn w:val="Normal"/>
    <w:next w:val="Normal"/>
    <w:unhideWhenUsed/>
    <w:qFormat/>
    <w:pPr>
      <w:spacing w:before="100" w:beforeAutospacing="1" w:after="100" w:afterAutospacing="1"/>
      <w:jc w:val="left"/>
      <w:outlineLvl w:val="2"/>
    </w:pPr>
    <w:rPr>
      <w:rFonts w:ascii="宋体" w:eastAsia="宋体" w:hAnsi="宋体" w:cs="宋体" w:hint="eastAsia"/>
      <w:b/>
      <w:kern w:val="0"/>
      <w:sz w:val="27"/>
      <w:szCs w:val="27"/>
      <w:lang w:val="en-US" w:eastAsia="zh-CN" w:bidi="ar"/>
    </w:rPr>
  </w:style>
  <w:style w:type="paragraph" w:styleId="Heading4">
    <w:name w:val="heading 4"/>
    <w:basedOn w:val="Normal"/>
    <w:next w:val="Normal"/>
    <w:unhideWhenUsed/>
    <w:qFormat/>
    <w:pPr>
      <w:spacing w:before="100" w:beforeAutospacing="1" w:after="100" w:afterAutospacing="1"/>
      <w:jc w:val="left"/>
      <w:outlineLvl w:val="3"/>
    </w:pPr>
    <w:rPr>
      <w:rFonts w:ascii="宋体" w:eastAsia="宋体" w:hAnsi="宋体" w:cs="宋体" w:hint="eastAsia"/>
      <w:b/>
      <w:kern w:val="0"/>
      <w:sz w:val="24"/>
      <w:szCs w:val="24"/>
      <w:lang w:val="en-US" w:eastAsia="zh-CN" w:bidi="ar"/>
    </w:rPr>
  </w:style>
  <w:style w:type="paragraph" w:styleId="Heading5">
    <w:name w:val="heading 5"/>
    <w:basedOn w:val="Normal"/>
    <w:next w:val="Normal"/>
    <w:unhideWhenUsed/>
    <w:qFormat/>
    <w:pPr>
      <w:spacing w:before="100" w:beforeAutospacing="1" w:after="100" w:afterAutospacing="1"/>
      <w:jc w:val="left"/>
      <w:outlineLvl w:val="4"/>
    </w:pPr>
    <w:rPr>
      <w:rFonts w:ascii="宋体" w:eastAsia="宋体" w:hAnsi="宋体" w:cs="宋体" w:hint="eastAsia"/>
      <w:b/>
      <w:kern w:val="0"/>
      <w:sz w:val="20"/>
      <w:szCs w:val="20"/>
      <w:lang w:val="en-US" w:eastAsia="zh-CN" w:bidi="ar"/>
    </w:rPr>
  </w:style>
  <w:style w:type="paragraph" w:styleId="Heading6">
    <w:name w:val="heading 6"/>
    <w:basedOn w:val="Normal"/>
    <w:next w:val="Normal"/>
    <w:unhideWhenUsed/>
    <w:qFormat/>
    <w:pPr>
      <w:spacing w:before="100" w:beforeAutospacing="1" w:after="100" w:afterAutospacing="1"/>
      <w:jc w:val="left"/>
      <w:outlineLvl w:val="5"/>
    </w:pPr>
    <w:rPr>
      <w:rFonts w:ascii="宋体" w:eastAsia="宋体" w:hAnsi="宋体" w:cs="宋体" w:hint="eastAsia"/>
      <w:b/>
      <w:kern w:val="0"/>
      <w:sz w:val="15"/>
      <w:szCs w:val="15"/>
      <w:lang w:val="en-US" w:eastAsia="zh-CN" w:bidi="ar"/>
    </w:rPr>
  </w:style>
  <w:style w:type="character" w:default="1" w:styleId="DefaultParagraphFont">
    <w:name w:val="Default Paragraph Font"/>
    <w:semiHidden/>
    <w:qFormat/>
  </w:style>
  <w:style w:type="table" w:default="1" w:styleId="TableNormal">
    <w:name w:val="Normal Table"/>
    <w:semiHidden/>
    <w:tblPr>
      <w:tblCellMar>
        <w:top w:w="0" w:type="dxa"/>
        <w:left w:w="108" w:type="dxa"/>
        <w:bottom w:w="0" w:type="dxa"/>
        <w:right w:w="108" w:type="dxa"/>
      </w:tblCellMar>
    </w:tblPr>
  </w:style>
  <w:style w:type="paragraph" w:styleId="NormalIndent">
    <w:name w:val="Normal Indent"/>
    <w:basedOn w:val="Normal"/>
    <w:next w:val="Normal"/>
    <w:qFormat/>
    <w:pPr>
      <w:snapToGrid w:val="0"/>
      <w:spacing w:before="0" w:beforeAutospacing="0" w:after="0" w:afterAutospacing="0" w:line="300" w:lineRule="auto"/>
      <w:ind w:left="0" w:right="0" w:firstLine="556"/>
      <w:jc w:val="left"/>
    </w:pPr>
    <w:rPr>
      <w:rFonts w:ascii="仿宋_GB2312" w:eastAsia="仿宋_GB2312" w:hAnsi="Times New Roman" w:cs="宋体" w:hint="eastAsia"/>
      <w:kern w:val="0"/>
      <w:sz w:val="24"/>
      <w:szCs w:val="24"/>
      <w:lang w:val="en-US" w:eastAsia="zh-CN" w:bidi="ar"/>
    </w:rPr>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hint="eastAsia"/>
      <w:kern w:val="0"/>
      <w:sz w:val="24"/>
      <w:szCs w:val="24"/>
      <w:lang w:val="en-US" w:eastAsia="zh-CN" w:bidi="ar"/>
    </w:rPr>
  </w:style>
  <w:style w:type="paragraph" w:styleId="NormalWeb">
    <w:name w:val="Normal (Web)"/>
    <w:basedOn w:val="Normal"/>
    <w:qFormat/>
    <w:pPr>
      <w:spacing w:before="100" w:beforeAutospacing="1" w:after="100" w:afterAutospacing="1"/>
      <w:ind w:left="0" w:right="0"/>
      <w:jc w:val="left"/>
    </w:pPr>
    <w:rPr>
      <w:kern w:val="0"/>
      <w:sz w:val="24"/>
      <w:lang w:val="en-US" w:eastAsia="zh-CN" w:bidi="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王媛媛</cp:lastModifiedBy>
  <cp:revision>1</cp:revision>
  <dcterms:created xsi:type="dcterms:W3CDTF">2022-10-10T06:38:00Z</dcterms:created>
  <dcterms:modified xsi:type="dcterms:W3CDTF">2022-10-12T03:40:35Z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