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玉溪市供销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合作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社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联合社2022年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化肥淡季储备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补助项目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left="0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pacing w:val="14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项目名称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年化肥淡季储备补助资金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立项依据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好以化肥为主的农业生产资料供应工作，是促进农业增产、农民增收、农村经济发展和社会稳定的重要保证，是关系到农产品质量安全和价格稳定的大事。由于以化肥为主的农业生产资料在农业生产中具有的重要性，它不仅直接影响着农民的生产成本，也事关消费者的切身利益，各级党委、政府历来高度重视以化肥为主的农资供应服务工作，国家发改委、农业部、供销合作社总社等部门连年下发“关于做好以化肥为主的农资供应工作”的通知，明确提出各地要建立完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淡季化肥储备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制度，以便调控市场，平抑价格，确保供应。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根据中共玉溪市委、市人民政府批复的《玉溪市供销合作社综合改革试点实施方案》（玉发〔2014〕49号）以及《关于深化供销合作社综合改革的实施意见》（玉发〔2016〕12号）文件要求，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要支持供销合作社建立市县区两级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淡季化肥储备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制度，并给予政策支持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。”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项目实施单位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玉溪市农业生产资料有限责任公司和各县（市、区）社农资公司。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项目基本概况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在储备期间6个月内（2021年10月至2022年3月），由玉溪市农业生产资料有限责任公司和各县社区农资公司购进30000吨的化肥用于储备，并在2022年春耕期间将储备肥料投放市场，市财政预算补助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90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万元，其中市本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级50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，市对下转移支付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万元，作为储备资金占用的补助，市财政、各级供销社对项目实施过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程进行监管。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4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项目实施内容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30"/>
        <w:jc w:val="both"/>
        <w:textAlignment w:val="auto"/>
        <w:rPr>
          <w:rFonts w:hint="default" w:ascii="Times New Roman" w:hAnsi="Times New Roman" w:eastAsia="方正楷体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（一）项目具体内容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坚持以市场为导向，调整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淡季化肥储备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品种结构，落实储备任务。抓好20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30000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淡季化肥储备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计划的落实，其中：市农资公司1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0000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吨、红塔区社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000吨、江川区社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2500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吨、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澄江市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吨、通海县社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2000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吨、华宁县社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4500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吨、易门县社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吨、峨山县社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000吨、新平县社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000吨、元江县社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000吨，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储备品种以尿素、复合肥、有机肥为主。一是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及时充实库存，做到供需平衡、库存合理、不误农时。同时要加强成本核算，确定盈利空间。二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积极开展送放心肥下乡活动，组织当地市场销路好、农民群众信得过的品牌化肥和农资商品投放市场，让农民群众及早购买到放心肥。同时积极引入和推广新产品，尤其要组织农民易接受、发展生态农业、绿色农业需要的有机肥、高效复合肥、低毒低残留农药等投放市场，确保农业投入品质量，促进生态绿色农业发展。三是优先做好边远地区和山区的化肥等农资商品的调供工作，确保供应不脱销、不断档、质量好、品种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30"/>
        <w:jc w:val="both"/>
        <w:textAlignment w:val="auto"/>
        <w:rPr>
          <w:rFonts w:hint="default" w:ascii="Times New Roman" w:hAnsi="Times New Roman" w:eastAsia="方正楷体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（二）采取的工作措施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3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明确责任落实机制。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明确储备任务、要求、时限。确保储备工作按质按量按期完成。领导小组全面领导全市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淡季化肥储备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工作大局；检查小组定期的督促检查工作现状以及发展需求；承储企业负责按照储备计划，合理确定储备品种、规格，在储备的6个月期间内（1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月至次年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月）保证库存达到储备要求；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项目资金及绩效管理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小组负责跟进专项资金的使用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以及绩效评价工作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3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制定工作计划和要求。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制定《20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年玉溪市供销社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淡季化肥储备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补助项目实施方案》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，按照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年春耕化肥生产供应和价格稳定工作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相关文件要求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，有步骤的按期抓好落实工作。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3.不断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提升服务水平，进一步完善农资经营服务体系。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农资经营企业要切实提高农资经营服务水平，充分发挥农资配送中心作用，扩大连锁范围，增加直接配送的数量和网点，减少中间环节，降低流通成本，让利农民群众，要主动适应农资流通业态的转型升级，积极为农民专业合作社、家庭农场、专业大户、农业生产企业等新型农业生产经营主体开展直供、直销、预售等经营服务；联合农业、科技等部门，开展测土配方施肥等农化服务，积极探索农资电子商务及综合信息平台建设，不断提高农资经营服务质量，切实推进农资经营服务连锁化、品牌化、规范化、现代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4.强化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项目的检查和验收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在储备的关键时间节点，各级供销合作社要加大检查巡视工作力度，在20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月—20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月储备期间，于每月10日前向市社报送储备情况表。及时发现和解决农资供应中出现的问题，通对供应工作中的好做法、好经验要及时总结和推广，确保全面完成全年化肥等农资储备和供应任务。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资金安排情况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本项目2022年度预算资金90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万元，全部为本级财政资金。具体预算为：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1.2022年（市本级）淡季化肥储备补助项目—40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2.2022年（市对下）淡季化肥储备补助项目—50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万元，其中红塔区12.5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万元、江川区6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万元、澄江市3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万元、通海县5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万元、华宁县10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万元、易门县3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万元、峨山县3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万元、新平县4.5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万元、元江县3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项目实施计划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3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好以化肥为主的农业生产资料供应工作，是促进农业增产、农民增收、农村经济发展和社会稳定的重要保证，是关系到农产品质量安全和价格稳定的大事。由于以化肥为主的农业生产资料在农业生产中具有的重要性，它不仅直接影响着农民的生产成本，也事关消费者的切身利益，各级党委、政府历来高度重视以化肥为主的农资供应服务工作，国家发改委、农业部、供销合作社总社等部门连年下发“关于做好以化肥为主的农资供应工作”的通知，明确提出各地要建立完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淡季化肥储备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制度，以便调控市场，平抑价格，确保供应。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项目实施分为三个阶段：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firstLine="63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准备阶段（20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年10月）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结合往年化肥供应的情况供应，针对今年市场行情以及当地种植结构调整实际，出台《关于切实做好今冬明春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淡季化肥储备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及供应工作的通知》，针对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淡季化肥储备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做好准备工作。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30" w:firstLineChars="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检查实施阶段（20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至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市供销合作社根据下达的储备任务，市农资公司进行跟踪问效，要求每月上报储备统计报表，落实储备任务，确保储备质量。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 w:leftChars="0" w:firstLine="630" w:firstLineChars="0"/>
        <w:jc w:val="both"/>
        <w:textAlignment w:val="auto"/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汇总分析以及统计经济社会效益阶段（20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月-20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根据报表以及实地核查情况，对照绩效目标，作出汇总分析，报财政局。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项目实施成效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储备化肥工作遵循“政府调控、企业储备、银行贷款、财政扶持、市场运作”的基本原则。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通过实施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淡季化肥储备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由市农资公司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储备春耕用肥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10000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吨，充分发挥供销合作社服务“三农”的重要作用，确保在20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年春耕期间保障以化肥为主的农资供应，保证不误农时。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8DDC78"/>
    <w:multiLevelType w:val="singleLevel"/>
    <w:tmpl w:val="AD8DDC7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A1"/>
    <w:rsid w:val="00055E73"/>
    <w:rsid w:val="001540A2"/>
    <w:rsid w:val="0021643A"/>
    <w:rsid w:val="002817A4"/>
    <w:rsid w:val="002E6AD3"/>
    <w:rsid w:val="003F0FEE"/>
    <w:rsid w:val="004608E8"/>
    <w:rsid w:val="00526D34"/>
    <w:rsid w:val="00595C88"/>
    <w:rsid w:val="00665D92"/>
    <w:rsid w:val="00690DD5"/>
    <w:rsid w:val="006A33B7"/>
    <w:rsid w:val="00730439"/>
    <w:rsid w:val="0083088E"/>
    <w:rsid w:val="008C707A"/>
    <w:rsid w:val="00982FE1"/>
    <w:rsid w:val="00995BA5"/>
    <w:rsid w:val="009C06EA"/>
    <w:rsid w:val="00A00EF6"/>
    <w:rsid w:val="00A22AAA"/>
    <w:rsid w:val="00A420E4"/>
    <w:rsid w:val="00AA34B2"/>
    <w:rsid w:val="00BA1861"/>
    <w:rsid w:val="00C26944"/>
    <w:rsid w:val="00C54D9F"/>
    <w:rsid w:val="00C60817"/>
    <w:rsid w:val="00CB4D29"/>
    <w:rsid w:val="00CC3D36"/>
    <w:rsid w:val="00CD4635"/>
    <w:rsid w:val="00CD7A1B"/>
    <w:rsid w:val="00CF279E"/>
    <w:rsid w:val="00DB2C78"/>
    <w:rsid w:val="00DD216E"/>
    <w:rsid w:val="00DE0A6E"/>
    <w:rsid w:val="00F478A1"/>
    <w:rsid w:val="00FC05C8"/>
    <w:rsid w:val="00FC3CCB"/>
    <w:rsid w:val="00FF06B2"/>
    <w:rsid w:val="0A6D532B"/>
    <w:rsid w:val="0CA14923"/>
    <w:rsid w:val="11106F55"/>
    <w:rsid w:val="13D17988"/>
    <w:rsid w:val="1C282F25"/>
    <w:rsid w:val="1DD9009A"/>
    <w:rsid w:val="1FF43553"/>
    <w:rsid w:val="20147194"/>
    <w:rsid w:val="210169D6"/>
    <w:rsid w:val="22E235A0"/>
    <w:rsid w:val="2AB15DE2"/>
    <w:rsid w:val="36CD7EC0"/>
    <w:rsid w:val="39366A1A"/>
    <w:rsid w:val="440919DD"/>
    <w:rsid w:val="48DF5293"/>
    <w:rsid w:val="526D1F4B"/>
    <w:rsid w:val="5ABB0C09"/>
    <w:rsid w:val="5B867EAE"/>
    <w:rsid w:val="5C9A014B"/>
    <w:rsid w:val="607A5102"/>
    <w:rsid w:val="62696203"/>
    <w:rsid w:val="6C470021"/>
    <w:rsid w:val="6E7C19DD"/>
    <w:rsid w:val="78E60F5C"/>
    <w:rsid w:val="7F6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A9E113-DF24-4E51-90CA-9EB345268F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671</Words>
  <Characters>3826</Characters>
  <Lines>31</Lines>
  <Paragraphs>8</Paragraphs>
  <TotalTime>3</TotalTime>
  <ScaleCrop>false</ScaleCrop>
  <LinksUpToDate>false</LinksUpToDate>
  <CharactersWithSpaces>4489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2018-11-06T09:29:00Z</dcterms:created>
  <dc:creator>Admin</dc:creator>
  <cp:lastModifiedBy>Administrator</cp:lastModifiedBy>
  <dcterms:modified xsi:type="dcterms:W3CDTF">2022-07-21T02:08:30Z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