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监督索引号53042200631801000</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宋体" w:hAnsi="宋体" w:eastAsia="宋体" w:cs="宋体"/>
          <w:kern w:val="0"/>
          <w:sz w:val="24"/>
          <w:szCs w:val="24"/>
        </w:rPr>
      </w:pPr>
      <w:r>
        <w:rPr>
          <w:rFonts w:hint="eastAsia" w:ascii="方正小标宋_GBK" w:hAnsi="方正小标宋_GBK" w:eastAsia="方正小标宋_GBK" w:cs="方正小标宋_GBK"/>
          <w:kern w:val="0"/>
          <w:sz w:val="44"/>
          <w:szCs w:val="44"/>
        </w:rPr>
        <w:t>澄江市财政局</w:t>
      </w:r>
      <w:r>
        <w:rPr>
          <w:rFonts w:hint="default" w:ascii="Times New Roman" w:hAnsi="Times New Roman" w:eastAsia="宋体" w:cs="Times New Roman"/>
          <w:kern w:val="0"/>
          <w:sz w:val="44"/>
          <w:szCs w:val="44"/>
        </w:rPr>
        <w:t>2021</w:t>
      </w:r>
      <w:r>
        <w:rPr>
          <w:rFonts w:hint="eastAsia" w:ascii="方正小标宋_GBK" w:hAnsi="方正小标宋_GBK" w:eastAsia="方正小标宋_GBK" w:cs="方正小标宋_GBK"/>
          <w:kern w:val="0"/>
          <w:sz w:val="44"/>
          <w:szCs w:val="44"/>
        </w:rPr>
        <w:t>年度部门决算</w:t>
      </w:r>
    </w:p>
    <w:p>
      <w:pPr>
        <w:keepNext w:val="0"/>
        <w:keepLines w:val="0"/>
        <w:widowControl/>
        <w:suppressLineNumbers w:val="0"/>
        <w:topLinePunct/>
        <w:autoSpaceDE w:val="0"/>
        <w:autoSpaceDN w:val="0"/>
        <w:spacing w:before="0" w:beforeAutospacing="0" w:after="0" w:afterAutospacing="0" w:line="590" w:lineRule="atLeast"/>
        <w:ind w:left="0" w:right="0"/>
        <w:jc w:val="both"/>
        <w:rPr>
          <w:rFonts w:hint="eastAsia" w:ascii="宋体" w:hAnsi="宋体" w:eastAsia="宋体" w:cs="宋体"/>
          <w:kern w:val="0"/>
          <w:sz w:val="24"/>
          <w:szCs w:val="24"/>
        </w:rPr>
      </w:pP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eastAsia" w:ascii="方正小标宋_GBK" w:hAnsi="方正小标宋_GBK" w:eastAsia="方正小标宋_GBK" w:cs="方正小标宋_GBK"/>
          <w:kern w:val="0"/>
          <w:sz w:val="36"/>
          <w:szCs w:val="36"/>
        </w:rPr>
      </w:pPr>
      <w:bookmarkStart w:id="0" w:name="_GoBack"/>
      <w:bookmarkEnd w:id="0"/>
      <w:r>
        <w:rPr>
          <w:rFonts w:hint="eastAsia" w:ascii="方正小标宋_GBK" w:hAnsi="方正小标宋_GBK" w:eastAsia="方正小标宋_GBK" w:cs="方正小标宋_GBK"/>
          <w:kern w:val="0"/>
          <w:sz w:val="36"/>
          <w:szCs w:val="36"/>
        </w:rPr>
        <w:t>目录</w:t>
      </w:r>
    </w:p>
    <w:p>
      <w:pPr>
        <w:keepNext w:val="0"/>
        <w:keepLines w:val="0"/>
        <w:widowControl/>
        <w:suppressLineNumbers w:val="0"/>
        <w:topLinePunct/>
        <w:autoSpaceDE w:val="0"/>
        <w:autoSpaceDN w:val="0"/>
        <w:spacing w:before="0" w:beforeAutospacing="0" w:after="0" w:afterAutospacing="0" w:line="590" w:lineRule="atLeast"/>
        <w:ind w:right="0"/>
        <w:jc w:val="both"/>
        <w:rPr>
          <w:rFonts w:hint="eastAsia" w:ascii="宋体" w:hAnsi="宋体" w:eastAsia="宋体" w:cs="宋体"/>
          <w:kern w:val="0"/>
          <w:sz w:val="24"/>
          <w:szCs w:val="24"/>
        </w:rPr>
      </w:pP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宋体" w:hAnsi="宋体" w:eastAsia="宋体" w:cs="宋体"/>
          <w:kern w:val="0"/>
          <w:sz w:val="24"/>
          <w:szCs w:val="24"/>
        </w:rPr>
      </w:pPr>
      <w:r>
        <w:rPr>
          <w:rFonts w:hint="eastAsia" w:ascii="黑体" w:hAnsi="黑体" w:eastAsia="黑体" w:cs="黑体"/>
          <w:kern w:val="0"/>
          <w:sz w:val="32"/>
          <w:szCs w:val="32"/>
        </w:rPr>
        <w:t>第一部分  澄江市财政局概况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一、主要职能</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二、部门基本情况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第二部分</w:t>
      </w:r>
      <w:r>
        <w:rPr>
          <w:rFonts w:hint="default" w:ascii="黑体" w:hAnsi="黑体" w:eastAsia="黑体" w:cs="黑体"/>
          <w:kern w:val="0"/>
          <w:sz w:val="32"/>
          <w:szCs w:val="32"/>
        </w:rPr>
        <w:t xml:space="preserve">  2021</w:t>
      </w:r>
      <w:r>
        <w:rPr>
          <w:rFonts w:hint="eastAsia" w:ascii="黑体" w:hAnsi="黑体" w:eastAsia="黑体" w:cs="黑体"/>
          <w:kern w:val="0"/>
          <w:sz w:val="32"/>
          <w:szCs w:val="32"/>
        </w:rPr>
        <w:t>年度部门决算表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一、收入支出决算总表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二、收入决算表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三、支出决算表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四、财政拨款收入支出决算总表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五、一般公共预算财政拨款收入支出决算表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六、一般公共预算财政拨款基本支出决算表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七、政府性基金预算财政拨款收入支出决算表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八、国有资本经营预算财政拨款收入支出决算表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九、“三公”经费、行政参公单位机关运行经费情况表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第三部分</w:t>
      </w:r>
      <w:r>
        <w:rPr>
          <w:rFonts w:hint="default" w:ascii="黑体" w:hAnsi="黑体" w:eastAsia="黑体" w:cs="黑体"/>
          <w:kern w:val="0"/>
          <w:sz w:val="32"/>
          <w:szCs w:val="32"/>
        </w:rPr>
        <w:t xml:space="preserve">  2021</w:t>
      </w:r>
      <w:r>
        <w:rPr>
          <w:rFonts w:hint="eastAsia" w:ascii="黑体" w:hAnsi="黑体" w:eastAsia="黑体" w:cs="黑体"/>
          <w:kern w:val="0"/>
          <w:sz w:val="32"/>
          <w:szCs w:val="32"/>
        </w:rPr>
        <w:t>年度部门决算情况说明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一、收入决算情况说明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三、一般公共预算财政拨款支出决算情况说明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四、一般公共预算财政拨款“三公”经费支出决算情况说明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第四部分</w:t>
      </w:r>
      <w:r>
        <w:rPr>
          <w:rFonts w:hint="default" w:ascii="黑体" w:hAnsi="黑体" w:eastAsia="黑体" w:cs="黑体"/>
          <w:kern w:val="0"/>
          <w:sz w:val="32"/>
          <w:szCs w:val="32"/>
        </w:rPr>
        <w:t xml:space="preserve">  </w:t>
      </w:r>
      <w:r>
        <w:rPr>
          <w:rFonts w:hint="eastAsia" w:ascii="黑体" w:hAnsi="黑体" w:eastAsia="黑体" w:cs="黑体"/>
          <w:kern w:val="0"/>
          <w:sz w:val="32"/>
          <w:szCs w:val="32"/>
        </w:rPr>
        <w:t>其他重要事项及相关口径情况说明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一、机关运行经费支出情况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二、国有资产占用情况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三、政府采购支出情况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四、部门绩效自评情况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（一）部门整体支出绩效自评情况</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（二）部门整体支出绩效自评表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（三）项目支出绩效自评表</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五、其他重要事项情况说明</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atLeast"/>
        <w:ind w:left="0" w:right="0" w:firstLine="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第五部分  名词解释</w:t>
      </w: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0" w:firstLineChars="0"/>
        <w:jc w:val="center"/>
        <w:textAlignment w:val="auto"/>
        <w:rPr>
          <w:rFonts w:hint="eastAsia" w:ascii="宋体" w:hAnsi="宋体" w:eastAsia="宋体" w:cs="宋体"/>
          <w:kern w:val="0"/>
          <w:sz w:val="24"/>
          <w:szCs w:val="24"/>
        </w:rPr>
      </w:pPr>
      <w:r>
        <w:rPr>
          <w:rFonts w:hint="default" w:ascii="Times New Roman" w:hAnsi="Times New Roman" w:eastAsia="宋体" w:cs="Times New Roman"/>
          <w:kern w:val="0"/>
          <w:sz w:val="32"/>
          <w:szCs w:val="32"/>
        </w:rPr>
        <w:br w:type="page"/>
      </w:r>
      <w:r>
        <w:rPr>
          <w:rFonts w:hint="eastAsia" w:ascii="黑体" w:hAnsi="黑体" w:eastAsia="黑体" w:cs="黑体"/>
          <w:kern w:val="0"/>
          <w:sz w:val="36"/>
          <w:szCs w:val="36"/>
        </w:rPr>
        <w:t>第一部分  澄江市财政局概况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一、主要职能</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（一）主要职能</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贯彻执行国家和省市财税发展战略、规划、政策。分析预测宏观经济形势，参与制定各项宏观经济政策，提出加强财源建设和运用财税政策实施宏观调控、综合平衡社会财力的建议。拟订推进基本公共均等化财政政策。指导镇（街道）财政所的业务工作。完善鼓励公益事业发展的财税政策。</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贯彻执行国家和省市财政、税收、国有资本金基础管理、财务会计管理的各项法律法规。制定和监督执行财政、财务、会计、国有资本金管理的规章制度。承担财税法规和政策的执行情况、预算管理有关监督工作。</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承担各项财政收支管理工作。编制年度市级预决算草案并组织执行。受澄江市人民政府委托，向澄江市人民代表大会及其常委会报告市级财政预算、执行和决算等情况。负责审核批复部门（单位）的年度预决算。负责市级预决算公开。组织实施预算绩效管理。拟订地方财政体制政策并组织实施。会同有关部门拟订有关资金（基金）的财务管理制度。</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4．按分工负责地方税收和政府非税收入管理。组织起草税收和政府非税收入实施细则。提出地方税收政策调整建议。拟订地方税制改革方案，提出有关税收优惠政策的建议。按规定管理行政事业性收费。管理财政票据。制定彩票管理政策和有关办法，监管彩票市场，按规定管理彩票资金。</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5．组织拟订国库管理制度、国库集中收付制度并组织实施。承担国库资金管理职责。组织编制政府财务报告。负责拟订政府采购制度并监督管理。统一管理财政专户。负责市级行政机关和财政全额拨款的事业单位的工资统一发放。</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6．拟订和执行地方政府债务管理制度和政策。承担地方政府性债务的日常管理职责，提出全县政府性债务规模控制和债务结构调整建议，指导和监督镇（街道）加强政府性债务管理。</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7．按规定拟订行政事业单位国有资产管理制度并组织实施，牵头编制年度国有资产管理情况报告。</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8．拟订政府性基金管理制度，监督管理政府性基金收支活动。审核并汇总编制市级政府性基金预决算草案，提出政府性基金与一般公共预算统筹安排建议。</w:t>
      </w:r>
    </w:p>
    <w:p>
      <w:pPr>
        <w:pStyle w:val="16"/>
        <w:keepNext w:val="0"/>
        <w:keepLines w:val="0"/>
        <w:pageBreakBefore w:val="0"/>
        <w:widowControl w:val="0"/>
        <w:suppressLineNumbers w:val="0"/>
        <w:kinsoku/>
        <w:wordWrap/>
        <w:overflowPunct/>
        <w:autoSpaceDE w:val="0"/>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9．组织实施国有资本经营预算制度和办法。负责审核和汇总编制国有资本经营预算草案，监缴市级国有资本收益。负责财政预算内行政事业单位和社会团体的非贸易外汇管理。</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10．负责审核并汇总编制社会保险基金预决算草案，承担社会保险基金的财政监管工作。</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11．参与拟订市级建设投资的有关政策。拟订基本建设的财务管理制度并监督实施。</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12．负责管理会计工作。拟订会计管理制度和办法并组织实施，监督和规范会计行为，指导和监督注册会计师和会计师事务所的业务。依法管理资产评估有关工作。</w:t>
      </w:r>
    </w:p>
    <w:p>
      <w:pPr>
        <w:pStyle w:val="16"/>
        <w:keepNext w:val="0"/>
        <w:keepLines w:val="0"/>
        <w:pageBreakBefore w:val="0"/>
        <w:widowControl/>
        <w:suppressLineNumbers w:val="0"/>
        <w:kinsoku/>
        <w:wordWrap/>
        <w:overflowPunct/>
        <w:bidi w:val="0"/>
        <w:adjustRightInd/>
        <w:spacing w:before="0" w:beforeAutospacing="0" w:after="0" w:afterAutospacing="0" w:line="590" w:lineRule="exact"/>
        <w:ind w:left="0" w:right="0" w:firstLine="640" w:firstLineChars="200"/>
        <w:jc w:val="both"/>
        <w:textAlignment w:val="auto"/>
        <w:rPr>
          <w:rFonts w:hint="eastAsia" w:ascii="宋体" w:hAnsi="宋体" w:eastAsia="宋体" w:cs="宋体"/>
          <w:kern w:val="0"/>
          <w:sz w:val="24"/>
          <w:szCs w:val="24"/>
        </w:rPr>
      </w:pPr>
      <w:r>
        <w:rPr>
          <w:rFonts w:hint="eastAsia" w:ascii="仿宋" w:hAnsi="仿宋" w:eastAsia="仿宋" w:cs="仿宋"/>
          <w:kern w:val="0"/>
          <w:sz w:val="32"/>
          <w:szCs w:val="32"/>
        </w:rPr>
        <w:t>13．完成市委、市政府交办的其他任务。</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宋体" w:hAnsi="宋体" w:eastAsia="宋体" w:cs="宋体"/>
          <w:kern w:val="0"/>
          <w:sz w:val="24"/>
          <w:szCs w:val="24"/>
        </w:rPr>
      </w:pPr>
      <w:r>
        <w:rPr>
          <w:rFonts w:hint="eastAsia" w:ascii="楷体" w:hAnsi="楷体" w:eastAsia="楷体" w:cs="楷体"/>
          <w:kern w:val="0"/>
          <w:sz w:val="32"/>
          <w:szCs w:val="32"/>
        </w:rPr>
        <w:t>（二）2021年度重点工作任务介绍</w:t>
      </w:r>
    </w:p>
    <w:p>
      <w:pPr>
        <w:keepNext w:val="0"/>
        <w:keepLines w:val="0"/>
        <w:pageBreakBefore w:val="0"/>
        <w:widowControl w:val="0"/>
        <w:suppressLineNumbers w:val="0"/>
        <w:kinsoku/>
        <w:wordWrap/>
        <w:overflowPunct/>
        <w:topLinePunct/>
        <w:autoSpaceDE w:val="0"/>
        <w:autoSpaceDN/>
        <w:bidi w:val="0"/>
        <w:adjustRightInd/>
        <w:spacing w:before="0" w:after="0" w:line="590" w:lineRule="exact"/>
        <w:ind w:left="0" w:leftChars="0" w:right="0" w:rightChars="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2021年，新冠疫情防控任务仍然艰巨，同时，受金融政策收紧和长久熔断机制等因素的影响，澄江财政运行面临诸多困难和问题。面对复杂多变的经济形势，财政部门</w:t>
      </w:r>
      <w:r>
        <w:rPr>
          <w:rStyle w:val="19"/>
          <w:rFonts w:hint="eastAsia" w:ascii="仿宋" w:hAnsi="仿宋" w:eastAsia="仿宋" w:cs="仿宋"/>
          <w:sz w:val="32"/>
          <w:szCs w:val="32"/>
        </w:rPr>
        <w:t>坚持以习近平新时代中国特色社会主义思想为指导，全面</w:t>
      </w:r>
      <w:r>
        <w:rPr>
          <w:rFonts w:hint="eastAsia" w:ascii="仿宋" w:hAnsi="仿宋" w:eastAsia="仿宋" w:cs="仿宋"/>
          <w:kern w:val="0"/>
          <w:sz w:val="32"/>
          <w:szCs w:val="32"/>
        </w:rPr>
        <w:t>贯彻落实中央、省委、玉溪市委及澄江市委经济工作会议精神</w:t>
      </w:r>
      <w:r>
        <w:rPr>
          <w:rStyle w:val="19"/>
          <w:rFonts w:hint="eastAsia" w:ascii="仿宋" w:hAnsi="仿宋" w:eastAsia="仿宋" w:cs="仿宋"/>
          <w:sz w:val="32"/>
          <w:szCs w:val="32"/>
        </w:rPr>
        <w:t>，坚持稳中求进工作总基调，践行高质量财政发展新理念，以建立现代财政制度为目标，强化收入征管，优化支出结构，深化财政改革，抓实财政监管，牢固树立过“紧日子”思想，坚决压减一般性和非急需、非重点支出，切实兜牢“三保”底线，充分发挥财政引擎作用，推动全市经济社会高质量发展。</w:t>
      </w:r>
    </w:p>
    <w:p>
      <w:pPr>
        <w:keepNext w:val="0"/>
        <w:keepLines w:val="0"/>
        <w:pageBreakBefore w:val="0"/>
        <w:widowControl/>
        <w:numPr>
          <w:ilvl w:val="0"/>
          <w:numId w:val="0"/>
        </w:numPr>
        <w:suppressLineNumbers w:val="0"/>
        <w:tabs>
          <w:tab w:val="left" w:pos="0"/>
        </w:tabs>
        <w:kinsoku/>
        <w:wordWrap/>
        <w:overflowPunct/>
        <w:topLinePunct/>
        <w:autoSpaceDE/>
        <w:autoSpaceDN/>
        <w:bidi w:val="0"/>
        <w:adjustRightInd/>
        <w:snapToGrid/>
        <w:spacing w:before="0" w:beforeAutospacing="0" w:after="0" w:afterAutospacing="0" w:line="590" w:lineRule="exact"/>
        <w:ind w:leftChars="0" w:right="0" w:rightChars="0"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i w:val="0"/>
          <w:caps w:val="0"/>
          <w:spacing w:val="0"/>
          <w:kern w:val="0"/>
          <w:sz w:val="32"/>
          <w:szCs w:val="32"/>
          <w:shd w:val="clear" w:color="auto" w:fill="FFFFFF"/>
          <w:lang w:val="en-US" w:eastAsia="zh-CN"/>
        </w:rPr>
        <w:t>1．</w:t>
      </w:r>
      <w:r>
        <w:rPr>
          <w:rFonts w:hint="eastAsia" w:ascii="仿宋" w:hAnsi="仿宋" w:eastAsia="仿宋" w:cs="仿宋"/>
          <w:b w:val="0"/>
          <w:bCs w:val="0"/>
          <w:i w:val="0"/>
          <w:caps w:val="0"/>
          <w:spacing w:val="0"/>
          <w:kern w:val="0"/>
          <w:sz w:val="32"/>
          <w:szCs w:val="32"/>
          <w:shd w:val="clear" w:color="auto" w:fill="FFFFFF"/>
        </w:rPr>
        <w:t>财政运行质量稳步提升。</w:t>
      </w:r>
      <w:r>
        <w:rPr>
          <w:rStyle w:val="19"/>
          <w:rFonts w:hint="eastAsia" w:ascii="仿宋" w:hAnsi="仿宋" w:eastAsia="仿宋" w:cs="仿宋"/>
          <w:b w:val="0"/>
          <w:bCs w:val="0"/>
          <w:sz w:val="32"/>
          <w:szCs w:val="32"/>
        </w:rPr>
        <w:t xml:space="preserve">一是兜牢兜实“三保”底线。二是向上争资成效明显。三是积极防范政府债务风险，做好债券项目储备。四是牢固树立过“紧日子”思想，严控“三公经费”支出。五是高效盘活存量资金。  </w:t>
      </w:r>
    </w:p>
    <w:p>
      <w:pPr>
        <w:keepNext w:val="0"/>
        <w:keepLines w:val="0"/>
        <w:pageBreakBefore w:val="0"/>
        <w:widowControl/>
        <w:numPr>
          <w:ilvl w:val="0"/>
          <w:numId w:val="0"/>
        </w:numPr>
        <w:suppressLineNumbers w:val="0"/>
        <w:tabs>
          <w:tab w:val="left" w:pos="0"/>
        </w:tabs>
        <w:kinsoku/>
        <w:wordWrap/>
        <w:overflowPunct/>
        <w:topLinePunct/>
        <w:autoSpaceDE/>
        <w:autoSpaceDN/>
        <w:bidi w:val="0"/>
        <w:adjustRightInd/>
        <w:spacing w:before="0" w:beforeAutospacing="0" w:after="0" w:afterAutospacing="0" w:line="590" w:lineRule="exact"/>
        <w:ind w:leftChars="0" w:right="0" w:rightChars="0" w:firstLine="640" w:firstLineChars="200"/>
        <w:jc w:val="both"/>
        <w:textAlignment w:val="auto"/>
        <w:rPr>
          <w:rFonts w:hint="eastAsia" w:ascii="仿宋" w:hAnsi="仿宋" w:eastAsia="仿宋" w:cs="仿宋"/>
          <w:b w:val="0"/>
          <w:bCs w:val="0"/>
          <w:i w:val="0"/>
          <w:caps w:val="0"/>
          <w:spacing w:val="0"/>
          <w:kern w:val="0"/>
          <w:sz w:val="32"/>
          <w:szCs w:val="32"/>
          <w:shd w:val="clear" w:color="auto" w:fill="FFFFFF"/>
        </w:rPr>
      </w:pPr>
      <w:r>
        <w:rPr>
          <w:rFonts w:hint="eastAsia" w:ascii="仿宋" w:hAnsi="仿宋" w:eastAsia="仿宋" w:cs="仿宋"/>
          <w:b w:val="0"/>
          <w:bCs w:val="0"/>
          <w:i w:val="0"/>
          <w:caps w:val="0"/>
          <w:spacing w:val="0"/>
          <w:kern w:val="0"/>
          <w:sz w:val="32"/>
          <w:szCs w:val="32"/>
          <w:shd w:val="clear" w:color="auto" w:fill="FFFFFF"/>
          <w:lang w:val="en-US" w:eastAsia="zh-CN"/>
        </w:rPr>
        <w:t>2．</w:t>
      </w:r>
      <w:r>
        <w:rPr>
          <w:rFonts w:hint="eastAsia" w:ascii="仿宋" w:hAnsi="仿宋" w:eastAsia="仿宋" w:cs="仿宋"/>
          <w:b w:val="0"/>
          <w:bCs w:val="0"/>
          <w:i w:val="0"/>
          <w:caps w:val="0"/>
          <w:spacing w:val="0"/>
          <w:kern w:val="0"/>
          <w:sz w:val="32"/>
          <w:szCs w:val="32"/>
          <w:shd w:val="clear" w:color="auto" w:fill="FFFFFF"/>
        </w:rPr>
        <w:t>服务高质量发展持续发力。一是坚持生态环境保护力度不减。</w:t>
      </w:r>
      <w:r>
        <w:rPr>
          <w:rStyle w:val="19"/>
          <w:rFonts w:hint="eastAsia" w:ascii="仿宋" w:hAnsi="仿宋" w:eastAsia="仿宋" w:cs="仿宋"/>
          <w:b w:val="0"/>
          <w:bCs w:val="0"/>
          <w:sz w:val="32"/>
          <w:szCs w:val="32"/>
        </w:rPr>
        <w:t>二是坚持完善预算绩效管理制度体系不变。三是坚持涉农资金精准投放不变。四是坚持落实减税降费政策不变。</w:t>
      </w:r>
    </w:p>
    <w:p>
      <w:pPr>
        <w:pStyle w:val="2"/>
        <w:keepNext w:val="0"/>
        <w:keepLines w:val="0"/>
        <w:pageBreakBefore w:val="0"/>
        <w:widowControl/>
        <w:numPr>
          <w:ilvl w:val="0"/>
          <w:numId w:val="0"/>
        </w:numPr>
        <w:suppressLineNumbers w:val="0"/>
        <w:tabs>
          <w:tab w:val="left" w:pos="0"/>
        </w:tabs>
        <w:kinsoku/>
        <w:wordWrap/>
        <w:overflowPunct/>
        <w:autoSpaceDE/>
        <w:autoSpaceDN/>
        <w:bidi w:val="0"/>
        <w:adjustRightInd/>
        <w:spacing w:before="0" w:after="0" w:line="590" w:lineRule="exact"/>
        <w:ind w:leftChars="0" w:right="0" w:rightChars="0" w:firstLine="640" w:firstLineChars="200"/>
        <w:jc w:val="both"/>
        <w:textAlignment w:val="auto"/>
        <w:rPr>
          <w:rFonts w:hint="eastAsia" w:ascii="仿宋" w:hAnsi="仿宋" w:eastAsia="仿宋" w:cs="仿宋"/>
          <w:b w:val="0"/>
          <w:bCs w:val="0"/>
          <w:kern w:val="2"/>
          <w:sz w:val="32"/>
          <w:szCs w:val="32"/>
        </w:rPr>
      </w:pPr>
      <w:r>
        <w:rPr>
          <w:rFonts w:hint="eastAsia" w:ascii="仿宋" w:hAnsi="仿宋" w:eastAsia="仿宋" w:cs="仿宋"/>
          <w:b w:val="0"/>
          <w:bCs w:val="0"/>
          <w:i w:val="0"/>
          <w:caps w:val="0"/>
          <w:spacing w:val="0"/>
          <w:kern w:val="0"/>
          <w:sz w:val="32"/>
          <w:szCs w:val="32"/>
          <w:shd w:val="clear" w:color="auto" w:fill="FFFFFF"/>
          <w:lang w:val="en-US" w:eastAsia="zh-CN"/>
        </w:rPr>
        <w:t>3．</w:t>
      </w:r>
      <w:r>
        <w:rPr>
          <w:rFonts w:hint="eastAsia" w:ascii="仿宋" w:hAnsi="仿宋" w:eastAsia="仿宋" w:cs="仿宋"/>
          <w:b w:val="0"/>
          <w:bCs w:val="0"/>
          <w:i w:val="0"/>
          <w:caps w:val="0"/>
          <w:spacing w:val="0"/>
          <w:kern w:val="0"/>
          <w:sz w:val="32"/>
          <w:szCs w:val="32"/>
          <w:shd w:val="clear" w:color="auto" w:fill="FFFFFF"/>
        </w:rPr>
        <w:t>保障改善民生提质增效。一是重点保障科教文旅事业优先发展。</w:t>
      </w:r>
      <w:r>
        <w:rPr>
          <w:rStyle w:val="19"/>
          <w:rFonts w:hint="eastAsia" w:ascii="仿宋" w:hAnsi="仿宋" w:eastAsia="仿宋" w:cs="仿宋"/>
          <w:b w:val="0"/>
          <w:bCs w:val="0"/>
          <w:kern w:val="2"/>
          <w:sz w:val="32"/>
          <w:szCs w:val="32"/>
        </w:rPr>
        <w:t>二是贯彻“稳就业”政策落实。三是落实疫情防控经费保障。</w:t>
      </w:r>
      <w:r>
        <w:rPr>
          <w:rStyle w:val="19"/>
          <w:rFonts w:hint="eastAsia" w:ascii="仿宋" w:hAnsi="仿宋" w:eastAsia="仿宋" w:cs="仿宋"/>
          <w:b w:val="0"/>
          <w:bCs w:val="0"/>
          <w:sz w:val="32"/>
          <w:szCs w:val="32"/>
        </w:rPr>
        <w:t>四是加强城乡基础设施建设</w:t>
      </w:r>
      <w:r>
        <w:rPr>
          <w:rStyle w:val="19"/>
          <w:rFonts w:hint="eastAsia" w:ascii="仿宋" w:hAnsi="仿宋" w:eastAsia="仿宋" w:cs="仿宋"/>
          <w:b w:val="0"/>
          <w:bCs w:val="0"/>
          <w:kern w:val="2"/>
          <w:sz w:val="32"/>
          <w:szCs w:val="32"/>
        </w:rPr>
        <w:t>。</w:t>
      </w:r>
    </w:p>
    <w:p>
      <w:pPr>
        <w:keepNext w:val="0"/>
        <w:keepLines w:val="0"/>
        <w:pageBreakBefore w:val="0"/>
        <w:widowControl/>
        <w:numPr>
          <w:ilvl w:val="0"/>
          <w:numId w:val="0"/>
        </w:numPr>
        <w:suppressLineNumbers w:val="0"/>
        <w:tabs>
          <w:tab w:val="left" w:pos="0"/>
        </w:tabs>
        <w:kinsoku/>
        <w:wordWrap/>
        <w:overflowPunct/>
        <w:topLinePunct/>
        <w:autoSpaceDE/>
        <w:autoSpaceDN/>
        <w:bidi w:val="0"/>
        <w:adjustRightInd/>
        <w:spacing w:before="0" w:beforeAutospacing="0" w:after="0" w:afterAutospacing="0" w:line="590" w:lineRule="exact"/>
        <w:ind w:leftChars="0" w:right="0" w:rightChars="0" w:firstLine="640" w:firstLineChars="200"/>
        <w:jc w:val="both"/>
        <w:textAlignment w:val="auto"/>
        <w:rPr>
          <w:rFonts w:hint="eastAsia" w:ascii="仿宋" w:hAnsi="仿宋" w:eastAsia="仿宋" w:cs="仿宋"/>
          <w:b w:val="0"/>
          <w:bCs w:val="0"/>
          <w:i w:val="0"/>
          <w:caps w:val="0"/>
          <w:spacing w:val="0"/>
          <w:kern w:val="0"/>
          <w:sz w:val="32"/>
          <w:szCs w:val="32"/>
          <w:shd w:val="clear" w:color="auto" w:fill="FFFFFF"/>
        </w:rPr>
      </w:pPr>
      <w:r>
        <w:rPr>
          <w:rFonts w:hint="eastAsia" w:ascii="仿宋" w:hAnsi="仿宋" w:eastAsia="仿宋" w:cs="仿宋"/>
          <w:b w:val="0"/>
          <w:bCs w:val="0"/>
          <w:i w:val="0"/>
          <w:caps w:val="0"/>
          <w:spacing w:val="0"/>
          <w:kern w:val="0"/>
          <w:sz w:val="32"/>
          <w:szCs w:val="32"/>
          <w:shd w:val="clear" w:color="auto" w:fill="FFFFFF"/>
          <w:lang w:val="en-US" w:eastAsia="zh-CN"/>
        </w:rPr>
        <w:t>4．</w:t>
      </w:r>
      <w:r>
        <w:rPr>
          <w:rFonts w:hint="eastAsia" w:ascii="仿宋" w:hAnsi="仿宋" w:eastAsia="仿宋" w:cs="仿宋"/>
          <w:b w:val="0"/>
          <w:bCs w:val="0"/>
          <w:i w:val="0"/>
          <w:caps w:val="0"/>
          <w:spacing w:val="0"/>
          <w:kern w:val="0"/>
          <w:sz w:val="32"/>
          <w:szCs w:val="32"/>
          <w:shd w:val="clear" w:color="auto" w:fill="FFFFFF"/>
        </w:rPr>
        <w:t>规范国有资产和金融管理成效显著。一是加强国有资产处置管理。</w:t>
      </w:r>
      <w:r>
        <w:rPr>
          <w:rStyle w:val="19"/>
          <w:rFonts w:hint="eastAsia" w:ascii="仿宋" w:hAnsi="仿宋" w:eastAsia="仿宋" w:cs="仿宋"/>
          <w:b w:val="0"/>
          <w:bCs w:val="0"/>
          <w:sz w:val="32"/>
          <w:szCs w:val="32"/>
        </w:rPr>
        <w:t>二是扎实开展防非处非工作。三是</w:t>
      </w:r>
      <w:r>
        <w:rPr>
          <w:rStyle w:val="19"/>
          <w:rFonts w:hint="eastAsia" w:ascii="仿宋" w:hAnsi="仿宋" w:eastAsia="仿宋" w:cs="仿宋"/>
          <w:b w:val="0"/>
          <w:bCs w:val="0"/>
          <w:kern w:val="2"/>
          <w:sz w:val="32"/>
          <w:szCs w:val="32"/>
        </w:rPr>
        <w:t>强化财政金融监管服务。</w:t>
      </w:r>
    </w:p>
    <w:p>
      <w:pPr>
        <w:pStyle w:val="2"/>
        <w:keepNext w:val="0"/>
        <w:keepLines w:val="0"/>
        <w:pageBreakBefore w:val="0"/>
        <w:widowControl/>
        <w:numPr>
          <w:ilvl w:val="0"/>
          <w:numId w:val="0"/>
        </w:numPr>
        <w:suppressLineNumbers w:val="0"/>
        <w:tabs>
          <w:tab w:val="left" w:pos="0"/>
        </w:tabs>
        <w:kinsoku/>
        <w:wordWrap/>
        <w:overflowPunct/>
        <w:autoSpaceDE/>
        <w:autoSpaceDN/>
        <w:bidi w:val="0"/>
        <w:adjustRightInd/>
        <w:spacing w:before="0" w:after="0" w:line="590" w:lineRule="exact"/>
        <w:ind w:leftChars="0" w:right="0" w:rightChars="0" w:firstLine="640" w:firstLineChars="200"/>
        <w:jc w:val="both"/>
        <w:textAlignment w:val="auto"/>
        <w:rPr>
          <w:rFonts w:hint="eastAsia" w:ascii="仿宋" w:hAnsi="仿宋" w:eastAsia="仿宋" w:cs="仿宋"/>
          <w:b w:val="0"/>
          <w:bCs w:val="0"/>
          <w:i w:val="0"/>
          <w:caps w:val="0"/>
          <w:spacing w:val="0"/>
          <w:kern w:val="0"/>
          <w:sz w:val="32"/>
          <w:szCs w:val="32"/>
          <w:shd w:val="clear" w:color="auto" w:fill="FFFFFF"/>
        </w:rPr>
      </w:pPr>
      <w:r>
        <w:rPr>
          <w:rFonts w:hint="eastAsia" w:ascii="仿宋" w:hAnsi="仿宋" w:eastAsia="仿宋" w:cs="仿宋"/>
          <w:b w:val="0"/>
          <w:bCs w:val="0"/>
          <w:i w:val="0"/>
          <w:caps w:val="0"/>
          <w:spacing w:val="0"/>
          <w:kern w:val="0"/>
          <w:sz w:val="32"/>
          <w:szCs w:val="32"/>
          <w:shd w:val="clear" w:color="auto" w:fill="FFFFFF"/>
          <w:lang w:val="en-US" w:eastAsia="zh-CN"/>
        </w:rPr>
        <w:t>5．</w:t>
      </w:r>
      <w:r>
        <w:rPr>
          <w:rFonts w:hint="eastAsia" w:ascii="仿宋" w:hAnsi="仿宋" w:eastAsia="仿宋" w:cs="仿宋"/>
          <w:b w:val="0"/>
          <w:bCs w:val="0"/>
          <w:i w:val="0"/>
          <w:caps w:val="0"/>
          <w:spacing w:val="0"/>
          <w:kern w:val="0"/>
          <w:sz w:val="32"/>
          <w:szCs w:val="32"/>
          <w:shd w:val="clear" w:color="auto" w:fill="FFFFFF"/>
        </w:rPr>
        <w:t>财税改革稳步纵深推进。一是全面推进电子化票据改革。</w:t>
      </w:r>
      <w:r>
        <w:rPr>
          <w:rStyle w:val="19"/>
          <w:rFonts w:hint="eastAsia" w:ascii="仿宋" w:hAnsi="仿宋" w:eastAsia="仿宋" w:cs="仿宋"/>
          <w:b w:val="0"/>
          <w:bCs w:val="0"/>
          <w:sz w:val="32"/>
          <w:szCs w:val="32"/>
        </w:rPr>
        <w:t>二是</w:t>
      </w:r>
      <w:r>
        <w:rPr>
          <w:rStyle w:val="19"/>
          <w:rFonts w:hint="eastAsia" w:ascii="仿宋" w:hAnsi="仿宋" w:eastAsia="仿宋" w:cs="仿宋"/>
          <w:b w:val="0"/>
          <w:bCs w:val="0"/>
          <w:kern w:val="2"/>
          <w:sz w:val="32"/>
          <w:szCs w:val="32"/>
        </w:rPr>
        <w:t>有序推进国有企业改革。三是大力推进差旅电子凭证网上报销。</w:t>
      </w:r>
      <w:r>
        <w:rPr>
          <w:rStyle w:val="19"/>
          <w:rFonts w:hint="eastAsia" w:ascii="仿宋" w:hAnsi="仿宋" w:eastAsia="仿宋" w:cs="仿宋"/>
          <w:b w:val="0"/>
          <w:bCs w:val="0"/>
          <w:sz w:val="32"/>
          <w:szCs w:val="32"/>
        </w:rPr>
        <w:t>四是有效推进政府采购电子信息化。五是积极推进乡镇财政体制改革。</w:t>
      </w:r>
    </w:p>
    <w:p>
      <w:pPr>
        <w:pStyle w:val="2"/>
        <w:keepNext w:val="0"/>
        <w:keepLines w:val="0"/>
        <w:pageBreakBefore w:val="0"/>
        <w:widowControl/>
        <w:numPr>
          <w:ilvl w:val="0"/>
          <w:numId w:val="0"/>
        </w:numPr>
        <w:suppressLineNumbers w:val="0"/>
        <w:tabs>
          <w:tab w:val="left" w:pos="0"/>
        </w:tabs>
        <w:kinsoku/>
        <w:wordWrap/>
        <w:overflowPunct/>
        <w:autoSpaceDE/>
        <w:autoSpaceDN/>
        <w:bidi w:val="0"/>
        <w:adjustRightInd/>
        <w:spacing w:before="0" w:after="0" w:line="590" w:lineRule="exact"/>
        <w:ind w:leftChars="0" w:right="0" w:rightChars="0" w:firstLine="640" w:firstLineChars="200"/>
        <w:jc w:val="both"/>
        <w:textAlignment w:val="auto"/>
        <w:rPr>
          <w:rFonts w:hint="eastAsia" w:ascii="仿宋" w:hAnsi="仿宋" w:eastAsia="仿宋" w:cs="仿宋"/>
          <w:b w:val="0"/>
          <w:bCs w:val="0"/>
          <w:i w:val="0"/>
          <w:caps w:val="0"/>
          <w:spacing w:val="0"/>
          <w:kern w:val="0"/>
          <w:sz w:val="32"/>
          <w:szCs w:val="32"/>
          <w:shd w:val="clear" w:color="auto" w:fill="FFFFFF"/>
        </w:rPr>
      </w:pPr>
      <w:r>
        <w:rPr>
          <w:rStyle w:val="19"/>
          <w:rFonts w:hint="eastAsia" w:ascii="仿宋" w:hAnsi="仿宋" w:eastAsia="仿宋" w:cs="仿宋"/>
          <w:b w:val="0"/>
          <w:bCs w:val="0"/>
          <w:sz w:val="32"/>
          <w:szCs w:val="32"/>
          <w:lang w:val="en-US" w:eastAsia="zh-CN"/>
        </w:rPr>
        <w:t>6．</w:t>
      </w:r>
      <w:r>
        <w:rPr>
          <w:rStyle w:val="19"/>
          <w:rFonts w:hint="eastAsia" w:ascii="仿宋" w:hAnsi="仿宋" w:eastAsia="仿宋" w:cs="仿宋"/>
          <w:b w:val="0"/>
          <w:bCs w:val="0"/>
          <w:sz w:val="32"/>
          <w:szCs w:val="32"/>
        </w:rPr>
        <w:t>财政从严治党全面加强。坚持党对财政工作的绝对领导，增强“四个意识”、坚定“四个自信”、做到“两个维护”，压实管党治党责任，不折不扣贯彻落实新时期党的建设新要求，坚持依法理财，强化责任担当，夯实全面从严治党基础。</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宋体" w:hAnsi="宋体" w:eastAsia="宋体" w:cs="宋体"/>
          <w:kern w:val="0"/>
          <w:sz w:val="24"/>
          <w:szCs w:val="24"/>
        </w:rPr>
      </w:pPr>
      <w:r>
        <w:rPr>
          <w:rFonts w:hint="eastAsia" w:ascii="黑体" w:hAnsi="黑体" w:eastAsia="黑体" w:cs="黑体"/>
          <w:kern w:val="0"/>
          <w:sz w:val="32"/>
          <w:szCs w:val="32"/>
        </w:rPr>
        <w:t>二、部门基本情况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（一）部门决算单位构成</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纳入澄江市财政局2021年度部门决算编报的单位共</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个。其中：行政单位1个，参照公务员法管理的事业单位0个，其他事业单位</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个。分别是：</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澄江市财政局</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本级</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澄江市非税收入管理局</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澄江市国库支付中心</w:t>
      </w:r>
      <w:r>
        <w:rPr>
          <w:rFonts w:hint="eastAsia" w:ascii="仿宋" w:hAnsi="仿宋" w:eastAsia="仿宋" w:cs="仿宋"/>
          <w:kern w:val="0"/>
          <w:sz w:val="32"/>
          <w:szCs w:val="32"/>
          <w:lang w:eastAsia="zh-CN"/>
        </w:rPr>
        <w:t>。</w:t>
      </w:r>
    </w:p>
    <w:p>
      <w:pPr>
        <w:pStyle w:val="2"/>
        <w:keepNext w:val="0"/>
        <w:keepLines w:val="0"/>
        <w:pageBreakBefore w:val="0"/>
        <w:widowControl/>
        <w:kinsoku/>
        <w:wordWrap/>
        <w:overflowPunct/>
        <w:topLinePunct w:val="0"/>
        <w:autoSpaceDE/>
        <w:autoSpaceDN/>
        <w:bidi w:val="0"/>
        <w:adjustRightInd/>
        <w:snapToGrid w:val="0"/>
        <w:spacing w:line="590" w:lineRule="exact"/>
        <w:ind w:firstLine="640" w:firstLineChars="200"/>
        <w:textAlignment w:val="auto"/>
        <w:rPr>
          <w:rFonts w:hint="default"/>
          <w:lang w:val="en-US" w:eastAsia="zh-CN"/>
        </w:rPr>
      </w:pPr>
      <w:r>
        <w:rPr>
          <w:rFonts w:hint="eastAsia" w:ascii="仿宋" w:hAnsi="仿宋" w:eastAsia="仿宋" w:cs="仿宋"/>
          <w:kern w:val="0"/>
          <w:sz w:val="32"/>
          <w:szCs w:val="32"/>
          <w:lang w:val="en-US" w:eastAsia="zh-CN"/>
        </w:rPr>
        <w:t>4．澄江市国资金融管理服务中心。</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（二）部门人员和车辆的编制及实有情况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澄江市财政局2021年末实有人员编制71人。其中：行政编制27人（含行政工勤编制0人），事业编制44人（含参公管理事业编制0人）；在职在编实有行政人员32人（含行政工勤人员6人），事业人员35人（含参公管理事业人员0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离退休人员23人。其中：离休0人，退休23人。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实有车辆编制0辆，在编实有车辆0辆。</w:t>
      </w:r>
    </w:p>
    <w:p>
      <w:pPr>
        <w:keepNext w:val="0"/>
        <w:keepLines w:val="0"/>
        <w:widowControl/>
        <w:suppressLineNumbers w:val="0"/>
        <w:topLinePunct/>
        <w:spacing w:before="0" w:beforeAutospacing="0" w:after="0" w:afterAutospacing="0" w:line="590" w:lineRule="atLeast"/>
        <w:ind w:left="0" w:right="0"/>
        <w:jc w:val="both"/>
        <w:rPr>
          <w:rFonts w:hint="eastAsia" w:ascii="宋体" w:hAnsi="宋体" w:eastAsia="宋体" w:cs="宋体"/>
          <w:kern w:val="0"/>
          <w:sz w:val="24"/>
          <w:szCs w:val="24"/>
        </w:rPr>
      </w:pPr>
    </w:p>
    <w:p>
      <w:pPr>
        <w:keepNext w:val="0"/>
        <w:keepLines w:val="0"/>
        <w:widowControl/>
        <w:suppressLineNumbers w:val="0"/>
        <w:topLinePunct/>
        <w:spacing w:before="0" w:beforeAutospacing="0" w:after="0" w:afterAutospacing="0" w:line="590" w:lineRule="atLeast"/>
        <w:ind w:left="0" w:right="0"/>
        <w:jc w:val="center"/>
        <w:rPr>
          <w:rFonts w:hint="eastAsia" w:ascii="宋体" w:hAnsi="宋体" w:eastAsia="宋体" w:cs="宋体"/>
          <w:kern w:val="0"/>
          <w:sz w:val="24"/>
          <w:szCs w:val="24"/>
        </w:rPr>
      </w:pPr>
      <w:r>
        <w:rPr>
          <w:rFonts w:hint="eastAsia" w:ascii="黑体" w:hAnsi="黑体" w:eastAsia="黑体" w:cs="黑体"/>
          <w:kern w:val="0"/>
          <w:sz w:val="36"/>
          <w:szCs w:val="36"/>
        </w:rPr>
        <w:t>第二部分  2021年度部门决算表</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（详见附件）</w:t>
      </w:r>
    </w:p>
    <w:p>
      <w:pPr>
        <w:pStyle w:val="2"/>
        <w:keepNext w:val="0"/>
        <w:keepLines w:val="0"/>
        <w:pageBreakBefore w:val="0"/>
        <w:widowControl/>
        <w:kinsoku/>
        <w:wordWrap/>
        <w:overflowPunct/>
        <w:topLinePunct w:val="0"/>
        <w:autoSpaceDE/>
        <w:autoSpaceDN/>
        <w:bidi w:val="0"/>
        <w:adjustRightInd/>
        <w:snapToGrid w:val="0"/>
        <w:spacing w:line="590" w:lineRule="exact"/>
        <w:ind w:firstLine="640"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澄江市财政局2021年度没有国有资本经营预算财政拨款收入，也没有使用国有资本经营预算财政拨款安排的支出，故《国有资本经营预算财政拨款收入支出决算表》无数据。</w:t>
      </w:r>
    </w:p>
    <w:p>
      <w:pPr>
        <w:keepNext w:val="0"/>
        <w:keepLines w:val="0"/>
        <w:widowControl/>
        <w:suppressLineNumbers w:val="0"/>
        <w:topLinePunct/>
        <w:spacing w:before="0" w:beforeAutospacing="0" w:after="0" w:afterAutospacing="0" w:line="590" w:lineRule="atLeast"/>
        <w:ind w:right="0"/>
        <w:jc w:val="both"/>
        <w:rPr>
          <w:rFonts w:hint="eastAsia" w:ascii="宋体" w:hAnsi="宋体" w:eastAsia="宋体" w:cs="宋体"/>
          <w:kern w:val="0"/>
          <w:sz w:val="24"/>
          <w:szCs w:val="24"/>
        </w:rPr>
      </w:pPr>
    </w:p>
    <w:p>
      <w:pPr>
        <w:keepNext w:val="0"/>
        <w:keepLines w:val="0"/>
        <w:widowControl/>
        <w:suppressLineNumbers w:val="0"/>
        <w:topLinePunct/>
        <w:spacing w:before="0" w:beforeAutospacing="0" w:after="0" w:afterAutospacing="0" w:line="590" w:lineRule="atLeast"/>
        <w:ind w:left="0" w:right="0"/>
        <w:jc w:val="center"/>
        <w:rPr>
          <w:rFonts w:hint="eastAsia" w:ascii="黑体" w:hAnsi="黑体" w:eastAsia="黑体" w:cs="黑体"/>
          <w:kern w:val="0"/>
          <w:sz w:val="32"/>
          <w:szCs w:val="32"/>
        </w:rPr>
      </w:pPr>
      <w:r>
        <w:rPr>
          <w:rFonts w:hint="eastAsia" w:ascii="黑体" w:hAnsi="黑体" w:eastAsia="黑体" w:cs="黑体"/>
          <w:kern w:val="0"/>
          <w:sz w:val="32"/>
          <w:szCs w:val="32"/>
        </w:rPr>
        <w:t>第三部分  2021年度部门决算情况说明</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黑体" w:hAnsi="黑体" w:eastAsia="黑体" w:cs="黑体"/>
          <w:kern w:val="0"/>
          <w:sz w:val="24"/>
          <w:szCs w:val="24"/>
        </w:rPr>
      </w:pPr>
      <w:r>
        <w:rPr>
          <w:rFonts w:hint="eastAsia" w:ascii="黑体" w:hAnsi="黑体" w:eastAsia="黑体" w:cs="黑体"/>
          <w:kern w:val="0"/>
          <w:sz w:val="32"/>
          <w:szCs w:val="32"/>
        </w:rPr>
        <w:t>一、收入决算情况说明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澄江市财政局2021年度收入合计2,002.67万元。其中：财政拨款收入2,002.67万元，占总收入的100.00%；上级补助收入0.00万元，占总收入的0.00%；事业收入0.00万元（含教育收费0.00万元），占总收入的0.00%；经营收入0.00万元，占总收入的0.00%；附属单位缴款收入0.00万元，占总收入的0.00%；其他收入0.00万元，占总收入的0.00%。与上年对比,本年收入增加434.80万元，增长27.73%，主要原因是2018年拨入490.09万元房屋转让土地出让金，列入本年预算收支。</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二、支出决算情况说明</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宋体" w:hAnsi="宋体" w:eastAsia="宋体" w:cs="宋体"/>
          <w:kern w:val="0"/>
          <w:sz w:val="24"/>
          <w:szCs w:val="24"/>
        </w:rPr>
      </w:pPr>
      <w:r>
        <w:rPr>
          <w:rFonts w:hint="eastAsia" w:ascii="仿宋" w:hAnsi="仿宋" w:eastAsia="仿宋" w:cs="仿宋"/>
          <w:kern w:val="0"/>
          <w:sz w:val="32"/>
          <w:szCs w:val="32"/>
        </w:rPr>
        <w:t>澄江市财政局2021年度支出合计2,112.39万元。其中：基本支出1,555.81万元，占总支出的73.65%；项目支出556.57万元，占总支出的26.35%；上缴上级支出、经营支出、对附属单位补助支出共0.00万元，占总支出的0.00%。与上年对比，本年支出增加591.31万元，增长38.87%，主要原因是2018年拨入490.09万元房屋转让土地出让金，列入本年预算收支。</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（一）基本支出情况</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2021年度用于保障澄江市财政局机关、下属事业单位等机构正常运转的日常支出1,555.81万元。</w:t>
      </w:r>
      <w:r>
        <w:rPr>
          <w:rFonts w:hint="eastAsia" w:ascii="仿宋" w:hAnsi="仿宋" w:eastAsia="仿宋" w:cs="仿宋"/>
          <w:color w:val="auto"/>
          <w:kern w:val="0"/>
          <w:sz w:val="32"/>
          <w:szCs w:val="32"/>
        </w:rPr>
        <w:t>与上年对比</w:t>
      </w:r>
      <w:r>
        <w:rPr>
          <w:rFonts w:hint="eastAsia" w:ascii="仿宋" w:hAnsi="仿宋" w:eastAsia="仿宋" w:cs="仿宋"/>
          <w:color w:val="auto"/>
          <w:kern w:val="0"/>
          <w:sz w:val="32"/>
          <w:szCs w:val="32"/>
          <w:lang w:val="en-US" w:eastAsia="zh-CN"/>
        </w:rPr>
        <w:t>增加</w:t>
      </w:r>
      <w:r>
        <w:rPr>
          <w:rFonts w:hint="eastAsia" w:ascii="仿宋" w:hAnsi="仿宋" w:eastAsia="仿宋" w:cs="仿宋"/>
          <w:color w:val="auto"/>
          <w:kern w:val="0"/>
          <w:sz w:val="32"/>
          <w:szCs w:val="32"/>
        </w:rPr>
        <w:t>207.48万元，</w:t>
      </w:r>
      <w:r>
        <w:rPr>
          <w:rFonts w:hint="eastAsia" w:ascii="仿宋" w:hAnsi="仿宋" w:eastAsia="仿宋" w:cs="仿宋"/>
          <w:color w:val="auto"/>
          <w:kern w:val="0"/>
          <w:sz w:val="32"/>
          <w:szCs w:val="32"/>
          <w:lang w:val="en-US" w:eastAsia="zh-CN"/>
        </w:rPr>
        <w:t>增长15.39%，</w:t>
      </w:r>
      <w:r>
        <w:rPr>
          <w:rFonts w:hint="eastAsia" w:ascii="仿宋" w:hAnsi="仿宋" w:eastAsia="仿宋" w:cs="仿宋"/>
          <w:color w:val="auto"/>
          <w:kern w:val="0"/>
          <w:sz w:val="32"/>
          <w:szCs w:val="32"/>
        </w:rPr>
        <w:t>主要原因</w:t>
      </w:r>
      <w:r>
        <w:rPr>
          <w:rFonts w:hint="eastAsia" w:ascii="仿宋" w:hAnsi="仿宋" w:eastAsia="仿宋" w:cs="仿宋"/>
          <w:color w:val="auto"/>
          <w:kern w:val="0"/>
          <w:sz w:val="32"/>
          <w:szCs w:val="32"/>
          <w:shd w:val="clear" w:color="auto" w:fill="FFFFFF"/>
        </w:rPr>
        <w:t>是人员增加及工资保障水平的增加</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其中：</w:t>
      </w:r>
      <w:r>
        <w:rPr>
          <w:rFonts w:hint="eastAsia" w:ascii="仿宋" w:hAnsi="仿宋" w:eastAsia="仿宋" w:cs="仿宋"/>
          <w:kern w:val="0"/>
          <w:sz w:val="32"/>
          <w:szCs w:val="32"/>
        </w:rPr>
        <w:t>基本工资、津贴补贴等人员经费支出1,438.96万元，占基本支出的92.49%</w:t>
      </w:r>
      <w:r>
        <w:rPr>
          <w:rFonts w:hint="eastAsia" w:ascii="仿宋" w:hAnsi="仿宋" w:eastAsia="仿宋" w:cs="仿宋"/>
          <w:color w:val="auto"/>
          <w:kern w:val="0"/>
          <w:sz w:val="32"/>
          <w:szCs w:val="32"/>
          <w:lang w:val="en-US" w:eastAsia="zh-CN"/>
        </w:rPr>
        <w:t>；</w:t>
      </w:r>
      <w:r>
        <w:rPr>
          <w:rFonts w:hint="eastAsia" w:ascii="仿宋" w:hAnsi="仿宋" w:eastAsia="仿宋" w:cs="仿宋"/>
          <w:kern w:val="0"/>
          <w:sz w:val="32"/>
          <w:szCs w:val="32"/>
        </w:rPr>
        <w:t>办公费、印刷费、水电费、办公设备购置等公用经费116.85万元，占基本支出的7.51%</w:t>
      </w:r>
      <w:r>
        <w:rPr>
          <w:rFonts w:hint="eastAsia" w:ascii="仿宋" w:hAnsi="仿宋" w:eastAsia="仿宋" w:cs="仿宋"/>
          <w:color w:val="000000"/>
          <w:kern w:val="0"/>
          <w:sz w:val="32"/>
          <w:szCs w:val="32"/>
        </w:rPr>
        <w:t>。</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（二）项目支出情况</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2021年度用于保障澄江市财政局机构、下属事业单位等机构为完成特定的行政工作任务或事业发展目标，用于专项业务工作的经费支出556.57万元。与上年对比增加383.82万元，增长222.18%，主要原因是2018年拨入490.09万元房屋转让土地出让金，列入本年预算收支。具体项目开支及开展工作情况是：</w:t>
      </w:r>
    </w:p>
    <w:p>
      <w:pPr>
        <w:pStyle w:val="14"/>
        <w:keepNext w:val="0"/>
        <w:keepLines w:val="0"/>
        <w:pageBreakBefore w:val="0"/>
        <w:widowControl/>
        <w:suppressLineNumbers w:val="0"/>
        <w:kinsoku/>
        <w:wordWrap/>
        <w:overflow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土地出让金490.09万元，主要是2018年我局处置办公楼应缴纳的房屋转让土地出让金，2018年已拨入，列入本年预算收支。</w:t>
      </w:r>
    </w:p>
    <w:p>
      <w:pPr>
        <w:pStyle w:val="14"/>
        <w:keepNext w:val="0"/>
        <w:keepLines w:val="0"/>
        <w:pageBreakBefore w:val="0"/>
        <w:widowControl/>
        <w:suppressLineNumbers w:val="0"/>
        <w:kinsoku/>
        <w:wordWrap/>
        <w:overflow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信息化建设28.54万元，主要用于支付部门预算管理、工资统发、票据管理、档案管理等11个财政信息化系统技术服务费、互联网专线使用费、移动数据专线使用费、电信电路租用费、办公设备更新费、办公设备耗材费。</w:t>
      </w:r>
    </w:p>
    <w:p>
      <w:pPr>
        <w:pStyle w:val="14"/>
        <w:keepNext w:val="0"/>
        <w:keepLines w:val="0"/>
        <w:pageBreakBefore w:val="0"/>
        <w:widowControl/>
        <w:suppressLineNumbers w:val="0"/>
        <w:kinsoku/>
        <w:wordWrap/>
        <w:overflow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其他财政事务支出27.04万元，主要用于办公用区域安保、清洁服务等物业管理费、财政政策业务综合培训、处置非法集资等项目。</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财政委托业务支出9.9</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万元，主要是财政绩效管理项目经费支出。</w:t>
      </w:r>
    </w:p>
    <w:p>
      <w:pPr>
        <w:pStyle w:val="2"/>
        <w:keepNext w:val="0"/>
        <w:keepLines w:val="0"/>
        <w:pageBreakBefore w:val="0"/>
        <w:widowControl/>
        <w:kinsoku/>
        <w:wordWrap/>
        <w:overflowPunct/>
        <w:topLinePunct w:val="0"/>
        <w:autoSpaceDE/>
        <w:autoSpaceDN/>
        <w:bidi w:val="0"/>
        <w:adjustRightInd/>
        <w:snapToGrid w:val="0"/>
        <w:spacing w:line="590" w:lineRule="exact"/>
        <w:ind w:firstLine="640" w:firstLineChars="200"/>
        <w:textAlignment w:val="auto"/>
        <w:rPr>
          <w:rFonts w:hint="default"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其他政府办公厅（室）及相关机构事务支出1.00万元，主要用于机构事务支出。</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宋体" w:hAnsi="宋体" w:eastAsia="宋体" w:cs="宋体"/>
          <w:kern w:val="0"/>
          <w:sz w:val="24"/>
          <w:szCs w:val="24"/>
        </w:rPr>
      </w:pPr>
      <w:r>
        <w:rPr>
          <w:rFonts w:hint="eastAsia" w:ascii="黑体" w:hAnsi="黑体" w:eastAsia="黑体" w:cs="黑体"/>
          <w:kern w:val="0"/>
          <w:sz w:val="32"/>
          <w:szCs w:val="32"/>
        </w:rPr>
        <w:t>三、一般公共预算财政拨款支出决算情况说明</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24"/>
          <w:szCs w:val="24"/>
        </w:rPr>
      </w:pPr>
      <w:r>
        <w:rPr>
          <w:rFonts w:hint="eastAsia" w:ascii="楷体" w:hAnsi="楷体" w:eastAsia="楷体" w:cs="楷体"/>
          <w:kern w:val="0"/>
          <w:sz w:val="32"/>
          <w:szCs w:val="32"/>
        </w:rPr>
        <w:t>（一）一般公共预算财政拨款支出决算总体情况</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澄江市财政局2021年度一般公共预算财政拨款支出1,579.66万元，占本年支出合计的74.78%。与上年对比增加72.52万元，增长4.81%，主要原因</w:t>
      </w:r>
      <w:r>
        <w:rPr>
          <w:rFonts w:hint="eastAsia" w:ascii="仿宋" w:hAnsi="仿宋" w:eastAsia="仿宋" w:cs="仿宋"/>
          <w:kern w:val="0"/>
          <w:sz w:val="32"/>
          <w:szCs w:val="32"/>
          <w:lang w:val="en-US" w:eastAsia="zh-CN"/>
        </w:rPr>
        <w:t>是</w:t>
      </w:r>
      <w:r>
        <w:rPr>
          <w:rFonts w:hint="eastAsia" w:ascii="仿宋" w:hAnsi="仿宋" w:eastAsia="仿宋" w:cs="仿宋"/>
          <w:kern w:val="0"/>
          <w:sz w:val="32"/>
          <w:szCs w:val="32"/>
        </w:rPr>
        <w:t>人员增加及人员工资的增长。</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（二）一般公共预算财政拨款支出决算具体情况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color w:val="auto"/>
          <w:kern w:val="0"/>
          <w:sz w:val="32"/>
          <w:szCs w:val="32"/>
        </w:rPr>
        <w:t>1．一般公共服务（类）支出1,225.54万元，占一般公共预算财政拨款总支出的77.58%。主要用</w:t>
      </w:r>
      <w:r>
        <w:rPr>
          <w:rFonts w:hint="eastAsia" w:ascii="仿宋" w:hAnsi="仿宋" w:eastAsia="仿宋" w:cs="仿宋"/>
          <w:color w:val="auto"/>
          <w:kern w:val="0"/>
          <w:sz w:val="32"/>
          <w:szCs w:val="32"/>
          <w:lang w:val="en-US" w:eastAsia="zh-CN"/>
        </w:rPr>
        <w:t>于</w:t>
      </w:r>
      <w:r>
        <w:rPr>
          <w:rFonts w:hint="eastAsia" w:ascii="仿宋" w:hAnsi="仿宋" w:eastAsia="仿宋" w:cs="仿宋"/>
          <w:color w:val="auto"/>
          <w:kern w:val="0"/>
          <w:sz w:val="32"/>
          <w:szCs w:val="32"/>
        </w:rPr>
        <w:t>行政运行支出688.36万元、信息化建设支出28.54万元、财政委托业务支出9.9</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万元、事业运行支出470.69万元、其他财政事务支出27.04万元、其他一般公共服务支出1.00万元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PS：因“四舍五入”的原因，</w:t>
      </w:r>
      <w:r>
        <w:rPr>
          <w:rFonts w:hint="eastAsia" w:ascii="仿宋" w:hAnsi="仿宋" w:eastAsia="仿宋" w:cs="仿宋"/>
          <w:color w:val="auto"/>
          <w:kern w:val="0"/>
          <w:sz w:val="32"/>
          <w:szCs w:val="32"/>
        </w:rPr>
        <w:t>一般公共服务（类）支出</w:t>
      </w:r>
      <w:r>
        <w:rPr>
          <w:rFonts w:hint="eastAsia" w:ascii="仿宋" w:hAnsi="仿宋" w:eastAsia="仿宋" w:cs="仿宋"/>
          <w:color w:val="auto"/>
          <w:kern w:val="0"/>
          <w:sz w:val="32"/>
          <w:szCs w:val="32"/>
          <w:lang w:val="en-US" w:eastAsia="zh-CN"/>
        </w:rPr>
        <w:t>各分项之和等于1,225.53万元，与总和有-0.01万元的差值。）</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2．外交（类）支出0.00万元，占一般公共预算财政拨款总支出的0.00%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3．国防（类）支出0.00万元，占一般公共预算财政拨款总支出的0.00%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4．公共安全（类）支出0.00万元，占一般公共预算财政拨款总支出的0.00%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5．教育（类）支出0.00万元，占一般公共预算财政拨款总支出的0.00%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6．科学技术（类）支出0.00万元，占一般公共预算财政拨款总支出的0.00%。</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7．文化旅游体育与传媒（类）支出0.00万元，占一般公共预算财政拨款总支出的0.00%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8．社会保障和就业（类）支出166.32万元，占一般公共预算财政拨款总支出的10.53%。主要用于行政单位退休支出59.28万元、事业单位退休支出7.92万元、机关事业单位基本养老保险缴费支出86.14万元、机关事业单位职业年金缴费支出12.98万元</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9．卫生健康（类）支出79.49万元，占一般公共预算财政拨款总支出的5.03%。主要用于行政单位医疗26.12万元、事业单位医疗19.85万元、公务员医疗补助33.52万元</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10．节能环保（类）支出0.00万元，占一般公共预算财政拨款总支出的0.00%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11．城乡社区（类）支出0.00万元，占一般公共预算财政拨款总支出的0.00%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12．农林水（类）支出0.00万元，占一般公共预算财政拨款总支出的0.00%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13．交通运输（类）支出0.00万元，占一般公共预算财政拨款总支出的0.00%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14．资源勘探工业信息等（类）支出类0.00万元，占一般公共预算财政拨款总支出的0.00%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15．商业服务业等（类）支出0.00万元，占一般公共预算财政拨款总支出的0.00%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16．金融（类）支出0.00万元，占一般公共预算财政拨款总支出的0.00%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17．援助其他地区（类）支出0.00万元，占一般公共预算财政拨款总支出的0.00%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18．自然资源海洋气象等（类）支出0.00万元，占一般公共预算财政拨款总支出的0.00%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19．住房保障（类）支出108.31万元，占一般公共预算财政拨款总支出的6.86%。主要用于住房公积金支出100.91万元，用于购房补贴7.40万元</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20．粮油物资储备（类）支出0.00万元，占一般公共预算财政拨款总支出的0.00%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21．国有资本经营预算（类）支出0.00万元，占一般公共预算财政拨款总支出的0.00%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22．灾害防治及应急管理（类）支出0.00万元，占一般公共预算财政拨款总支出的0.00%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23．其他（类）支出0.00万元，占一般公共预算财政拨款总支出的0.00%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24．债务还本（类）支出0.00万元，占一般公共预算财政拨款总支出的0.00%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25．债务付息（类）支出0.00万元，占一般公共预算财政拨款总支出的0.00%</w:t>
      </w:r>
      <w:r>
        <w:rPr>
          <w:rFonts w:hint="eastAsia" w:ascii="仿宋" w:hAnsi="仿宋" w:eastAsia="仿宋" w:cs="仿宋"/>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26．抗疫特别国债安排（类）支出0.00万元，占一般公共预算财政拨款总支出的0.00%。</w:t>
      </w:r>
    </w:p>
    <w:p>
      <w:pPr>
        <w:pStyle w:val="2"/>
        <w:keepNext w:val="0"/>
        <w:keepLines w:val="0"/>
        <w:pageBreakBefore w:val="0"/>
        <w:widowControl/>
        <w:suppressLineNumbers w:val="0"/>
        <w:kinsoku/>
        <w:wordWrap/>
        <w:overflowPunct/>
        <w:autoSpaceDE/>
        <w:autoSpaceDN/>
        <w:bidi w:val="0"/>
        <w:adjustRightInd/>
        <w:spacing w:line="590" w:lineRule="exact"/>
        <w:ind w:left="0" w:firstLine="640" w:firstLineChars="200"/>
        <w:textAlignment w:val="auto"/>
        <w:rPr>
          <w:rFonts w:hint="eastAsia" w:ascii="黑体" w:hAnsi="黑体" w:eastAsia="黑体" w:cs="黑体"/>
          <w:kern w:val="0"/>
          <w:sz w:val="24"/>
          <w:szCs w:val="24"/>
        </w:rPr>
      </w:pPr>
      <w:r>
        <w:rPr>
          <w:rFonts w:hint="eastAsia" w:ascii="黑体" w:hAnsi="黑体" w:eastAsia="黑体" w:cs="黑体"/>
          <w:kern w:val="0"/>
          <w:sz w:val="32"/>
          <w:szCs w:val="32"/>
        </w:rPr>
        <w:t>四、一般公共预算财政拨款“三公”经费支出决算情况说明</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（一）一般公共预算财政拨款“三公”经费支出决算总体情况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澄江市财政局2021年度一般公共预算财政拨款“三公”经费支出预算为8.56万元，支出决算为3.62万元，完成预算的42.29%。其中：因公出国（境）费支出决算为0.00万元；公务用车购置及运行费支出决算为0.00万元；公务接待费支出决算为3.62万元，完成预算的42.29%。2021年度一般公共预算财政拨款“三公”经费支出决算数小于预算数的主要原因</w:t>
      </w:r>
      <w:r>
        <w:rPr>
          <w:rFonts w:hint="eastAsia" w:ascii="仿宋" w:hAnsi="仿宋" w:eastAsia="仿宋" w:cs="仿宋"/>
          <w:kern w:val="0"/>
          <w:sz w:val="32"/>
          <w:szCs w:val="32"/>
          <w:shd w:val="clear" w:color="auto" w:fill="FFFFFF"/>
        </w:rPr>
        <w:t>是</w:t>
      </w:r>
      <w:r>
        <w:rPr>
          <w:rFonts w:hint="eastAsia" w:ascii="仿宋" w:hAnsi="仿宋" w:eastAsia="仿宋" w:cs="仿宋"/>
          <w:kern w:val="0"/>
          <w:sz w:val="32"/>
          <w:szCs w:val="32"/>
        </w:rPr>
        <w:t>认真贯彻落实厉行节约和上级有关政策，努力压缩一般性支出，尽力节约行政成本，公务接待费用明显减少。</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2021年度一般公共预算财政拨款“三公”经费支出决算数比2020年减少0.69万元，下降16.01%。其中：因公出国（境）费支出决算减少0.00万元，下降0.00%；公务用车购置及运行费支出决算减少0.00万元，下降0.00%；公务接待费支出决算减少0.69万元，下降16.01%。2021年度一般公共预算财政拨款“三公”经费支出决算减少的主要原因</w:t>
      </w:r>
      <w:r>
        <w:rPr>
          <w:rFonts w:hint="eastAsia" w:ascii="仿宋" w:hAnsi="仿宋" w:eastAsia="仿宋" w:cs="仿宋"/>
          <w:kern w:val="0"/>
          <w:sz w:val="32"/>
          <w:szCs w:val="32"/>
          <w:shd w:val="clear" w:color="auto" w:fill="FFFFFF"/>
        </w:rPr>
        <w:t>是</w:t>
      </w:r>
      <w:r>
        <w:rPr>
          <w:rFonts w:hint="eastAsia" w:ascii="仿宋" w:hAnsi="仿宋" w:eastAsia="仿宋" w:cs="仿宋"/>
          <w:kern w:val="0"/>
          <w:sz w:val="32"/>
          <w:szCs w:val="32"/>
        </w:rPr>
        <w:t>贯彻落实厉行节约和上级有关政策，公务接待费用比上年减少</w:t>
      </w:r>
      <w:r>
        <w:rPr>
          <w:rFonts w:hint="eastAsia" w:ascii="仿宋" w:hAnsi="仿宋" w:eastAsia="仿宋" w:cs="仿宋"/>
          <w:kern w:val="0"/>
          <w:sz w:val="32"/>
          <w:szCs w:val="32"/>
          <w:shd w:val="clear" w:color="auto" w:fill="FFFFFF"/>
        </w:rPr>
        <w:t>0.69万元</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(二)一般公共预算财政拨款“三公”经费支出决算具体情况</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2021年度一般公共预算财政拨款“三公”经费支出决算中，因公出国（境）费支出0.00万元，占0.00%；公务用车购置及运行维护费支出0.00万元，占0.00%；公务接待费支出3.62万元，占100.00%。具体情况如下：</w:t>
      </w:r>
    </w:p>
    <w:p>
      <w:pPr>
        <w:keepNext w:val="0"/>
        <w:keepLines w:val="0"/>
        <w:pageBreakBefore w:val="0"/>
        <w:widowControl/>
        <w:numPr>
          <w:ilvl w:val="0"/>
          <w:numId w:val="1"/>
        </w:numPr>
        <w:suppressLineNumbers w:val="0"/>
        <w:kinsoku/>
        <w:wordWrap/>
        <w:overflowPunct/>
        <w:topLinePunct/>
        <w:autoSpaceDE/>
        <w:autoSpaceDN/>
        <w:bidi w:val="0"/>
        <w:adjustRightInd/>
        <w:spacing w:before="0" w:beforeAutospacing="0" w:after="0" w:afterAutospacing="0" w:line="590" w:lineRule="exact"/>
        <w:ind w:left="0" w:right="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rPr>
        <w:t>因公出国（境）费</w:t>
      </w:r>
      <w:r>
        <w:rPr>
          <w:rFonts w:hint="eastAsia" w:ascii="仿宋" w:hAnsi="仿宋" w:eastAsia="仿宋" w:cs="仿宋"/>
          <w:kern w:val="0"/>
          <w:sz w:val="32"/>
          <w:szCs w:val="32"/>
        </w:rPr>
        <w:t>支出0.00万元，共安排因公出国（境）团组0个，累计0人次。</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leftChars="0" w:right="0" w:rightChars="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rPr>
        <w:t>2．公务用车购置及运行维护费</w:t>
      </w:r>
      <w:r>
        <w:rPr>
          <w:rFonts w:hint="eastAsia" w:ascii="仿宋" w:hAnsi="仿宋" w:eastAsia="仿宋" w:cs="仿宋"/>
          <w:kern w:val="0"/>
          <w:sz w:val="32"/>
          <w:szCs w:val="32"/>
        </w:rPr>
        <w:t>支出0.00万元。其中：</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rPr>
        <w:t>公务用车购置</w:t>
      </w:r>
      <w:r>
        <w:rPr>
          <w:rFonts w:hint="eastAsia" w:ascii="仿宋" w:hAnsi="仿宋" w:eastAsia="仿宋" w:cs="仿宋"/>
          <w:kern w:val="0"/>
          <w:sz w:val="32"/>
          <w:szCs w:val="32"/>
        </w:rPr>
        <w:t>支出0.00万元，购置车辆0辆。</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rPr>
        <w:t>公务用车运行维护</w:t>
      </w:r>
      <w:r>
        <w:rPr>
          <w:rFonts w:hint="eastAsia" w:ascii="仿宋" w:hAnsi="仿宋" w:eastAsia="仿宋" w:cs="仿宋"/>
          <w:kern w:val="0"/>
          <w:sz w:val="32"/>
          <w:szCs w:val="32"/>
        </w:rPr>
        <w:t>支出0.00万元，开支一般公共预算财政拨款的公务用车保有量为0辆。</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rPr>
        <w:t>3．公务接待费</w:t>
      </w:r>
      <w:r>
        <w:rPr>
          <w:rFonts w:hint="eastAsia" w:ascii="仿宋" w:hAnsi="仿宋" w:eastAsia="仿宋" w:cs="仿宋"/>
          <w:kern w:val="0"/>
          <w:sz w:val="32"/>
          <w:szCs w:val="32"/>
        </w:rPr>
        <w:t>支出3.62万元。其中：</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rPr>
        <w:t>国内接待费</w:t>
      </w:r>
      <w:r>
        <w:rPr>
          <w:rFonts w:hint="eastAsia" w:ascii="仿宋" w:hAnsi="仿宋" w:eastAsia="仿宋" w:cs="仿宋"/>
          <w:kern w:val="0"/>
          <w:sz w:val="32"/>
          <w:szCs w:val="32"/>
        </w:rPr>
        <w:t>支出3.62万元（其中：外事接待费支出0.00万元），共安排国内公务接待65批次（其中：外事接待0批次），接待人次624人（其中：外事接待人次0人）。主要用于</w:t>
      </w:r>
      <w:r>
        <w:rPr>
          <w:rFonts w:hint="eastAsia" w:ascii="仿宋" w:hAnsi="仿宋" w:eastAsia="仿宋" w:cs="仿宋"/>
          <w:b w:val="0"/>
          <w:kern w:val="0"/>
          <w:sz w:val="32"/>
          <w:szCs w:val="32"/>
        </w:rPr>
        <w:t>上级部门对抚仙湖保护项目情况调研、防范金融风险专项督查、财政经济运行调研、休耕轮作专项资金督查、乡村振兴交流学习等发生的接待支出</w:t>
      </w:r>
      <w:r>
        <w:rPr>
          <w:rFonts w:hint="eastAsia" w:ascii="仿宋" w:hAnsi="仿宋" w:eastAsia="仿宋" w:cs="仿宋"/>
          <w:color w:val="400000"/>
          <w:kern w:val="0"/>
          <w:sz w:val="32"/>
          <w:szCs w:val="32"/>
        </w:rPr>
        <w:t>。</w:t>
      </w:r>
    </w:p>
    <w:p>
      <w:pPr>
        <w:keepNext w:val="0"/>
        <w:keepLines w:val="0"/>
        <w:pageBreakBefore w:val="0"/>
        <w:widowControl/>
        <w:suppressLineNumbers w:val="0"/>
        <w:kinsoku/>
        <w:wordWrap/>
        <w:overflowPunct/>
        <w:topLinePunct/>
        <w:autoSpaceDE/>
        <w:autoSpaceDN/>
        <w:bidi w:val="0"/>
        <w:adjustRightInd/>
        <w:spacing w:before="0" w:beforeAutospacing="0" w:after="0" w:afterAutospacing="0" w:line="590" w:lineRule="exact"/>
        <w:ind w:left="0" w:right="0"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kern w:val="0"/>
          <w:sz w:val="32"/>
          <w:szCs w:val="32"/>
        </w:rPr>
        <w:t>国（境）外接待费</w:t>
      </w:r>
      <w:r>
        <w:rPr>
          <w:rFonts w:hint="eastAsia" w:ascii="仿宋" w:hAnsi="仿宋" w:eastAsia="仿宋" w:cs="仿宋"/>
          <w:kern w:val="0"/>
          <w:sz w:val="32"/>
          <w:szCs w:val="32"/>
        </w:rPr>
        <w:t>支出0.00万元，共安排国（境）外公务接待0批次，接待人次0人。</w:t>
      </w:r>
    </w:p>
    <w:p>
      <w:pPr>
        <w:keepNext w:val="0"/>
        <w:keepLines w:val="0"/>
        <w:widowControl/>
        <w:suppressLineNumbers w:val="0"/>
        <w:topLinePunct/>
        <w:spacing w:before="0" w:beforeAutospacing="0" w:after="0" w:afterAutospacing="0" w:line="590" w:lineRule="atLeast"/>
        <w:ind w:right="0"/>
        <w:jc w:val="both"/>
        <w:rPr>
          <w:rFonts w:hint="eastAsia" w:ascii="宋体" w:hAnsi="宋体" w:eastAsia="宋体" w:cs="宋体"/>
          <w:kern w:val="0"/>
          <w:sz w:val="24"/>
          <w:szCs w:val="24"/>
        </w:rPr>
      </w:pPr>
    </w:p>
    <w:p>
      <w:pPr>
        <w:keepNext w:val="0"/>
        <w:keepLines w:val="0"/>
        <w:widowControl/>
        <w:suppressLineNumbers w:val="0"/>
        <w:topLinePunct/>
        <w:spacing w:before="0" w:beforeAutospacing="0" w:after="0" w:afterAutospacing="0" w:line="590" w:lineRule="atLeast"/>
        <w:ind w:left="0" w:right="0"/>
        <w:jc w:val="center"/>
        <w:rPr>
          <w:rFonts w:hint="eastAsia" w:ascii="宋体" w:hAnsi="宋体" w:eastAsia="宋体" w:cs="宋体"/>
          <w:kern w:val="0"/>
          <w:sz w:val="36"/>
          <w:szCs w:val="36"/>
        </w:rPr>
      </w:pPr>
      <w:r>
        <w:rPr>
          <w:rFonts w:hint="eastAsia" w:ascii="方正小标宋_GBK" w:hAnsi="方正小标宋_GBK" w:eastAsia="方正小标宋_GBK" w:cs="方正小标宋_GBK"/>
          <w:kern w:val="0"/>
          <w:sz w:val="36"/>
          <w:szCs w:val="36"/>
        </w:rPr>
        <w:t>第四部分  其他重要事项及相关口径情况说明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宋体" w:hAnsi="宋体" w:eastAsia="宋体" w:cs="宋体"/>
          <w:kern w:val="0"/>
          <w:sz w:val="24"/>
          <w:szCs w:val="24"/>
        </w:rPr>
      </w:pPr>
      <w:r>
        <w:rPr>
          <w:rFonts w:hint="eastAsia" w:ascii="黑体" w:hAnsi="黑体" w:eastAsia="黑体" w:cs="黑体"/>
          <w:kern w:val="0"/>
          <w:sz w:val="32"/>
          <w:szCs w:val="32"/>
        </w:rPr>
        <w:t>一、机关运行经费支出情况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default" w:ascii="仿宋" w:hAnsi="仿宋" w:eastAsia="仿宋" w:cs="仿宋"/>
          <w:color w:val="auto"/>
          <w:kern w:val="0"/>
          <w:sz w:val="32"/>
          <w:szCs w:val="32"/>
          <w:lang w:val="en-US" w:eastAsia="zh-CN"/>
        </w:rPr>
      </w:pPr>
      <w:r>
        <w:rPr>
          <w:rFonts w:hint="eastAsia" w:ascii="仿宋" w:hAnsi="仿宋" w:eastAsia="仿宋" w:cs="仿宋"/>
          <w:kern w:val="0"/>
          <w:sz w:val="32"/>
          <w:szCs w:val="32"/>
        </w:rPr>
        <w:t>澄江市财政局2021年机关运行经费支出104.45万元，与上年对比减少11.88万元，减少10.21%，主要原因是我单位认真贯彻落实厉行节约和上级有关政策，努力压缩一般性支出，尽力节约行政成本导致。</w:t>
      </w:r>
      <w:r>
        <w:rPr>
          <w:rFonts w:hint="eastAsia" w:ascii="仿宋" w:hAnsi="仿宋" w:eastAsia="仿宋" w:cs="仿宋"/>
          <w:color w:val="auto"/>
          <w:kern w:val="0"/>
          <w:sz w:val="32"/>
          <w:szCs w:val="32"/>
        </w:rPr>
        <w:t>机关运行经费主要</w:t>
      </w:r>
      <w:r>
        <w:rPr>
          <w:rFonts w:hint="eastAsia" w:ascii="仿宋" w:hAnsi="仿宋" w:eastAsia="仿宋" w:cs="仿宋"/>
          <w:color w:val="auto"/>
          <w:kern w:val="0"/>
          <w:sz w:val="32"/>
          <w:szCs w:val="32"/>
          <w:lang w:val="en-US" w:eastAsia="zh-CN"/>
        </w:rPr>
        <w:t>包括：办公费9.11万元、手续费0.05万元、水费3.94万元、电费2.85万元、邮电费1.35万元、差旅费23.81万元、会议费0.80万元、培训费3.22万元、公务接待费3.62万元、工会经费12.38万元、福利费15.20万元、其他交通费用28.13万元。（PS：因“四舍五入”的原因，机关运行经费分项之和等于104.46万元，与总和有0.01万元的差值）</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宋体" w:hAnsi="宋体" w:eastAsia="宋体" w:cs="宋体"/>
          <w:kern w:val="0"/>
          <w:sz w:val="24"/>
          <w:szCs w:val="24"/>
        </w:rPr>
      </w:pPr>
      <w:r>
        <w:rPr>
          <w:rFonts w:hint="eastAsia" w:ascii="方正黑体_GBK" w:hAnsi="方正黑体_GBK" w:eastAsia="方正黑体_GBK" w:cs="方正黑体_GBK"/>
          <w:kern w:val="0"/>
          <w:sz w:val="32"/>
          <w:szCs w:val="32"/>
        </w:rPr>
        <w:t>二、</w:t>
      </w:r>
      <w:r>
        <w:rPr>
          <w:rFonts w:hint="eastAsia" w:ascii="方正黑体_GBK" w:hAnsi="方正黑体_GBK" w:eastAsia="方正黑体_GBK" w:cs="方正黑体_GBK"/>
          <w:color w:val="000000"/>
          <w:kern w:val="0"/>
          <w:sz w:val="32"/>
          <w:szCs w:val="32"/>
        </w:rPr>
        <w:t>国有资产占用情况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_GB2312" w:hAnsi="Times New Roman" w:eastAsia="仿宋_GB2312" w:cs="宋体"/>
          <w:kern w:val="0"/>
          <w:sz w:val="24"/>
          <w:szCs w:val="24"/>
        </w:rPr>
      </w:pPr>
      <w:r>
        <w:rPr>
          <w:rFonts w:hint="eastAsia" w:ascii="仿宋" w:hAnsi="仿宋" w:eastAsia="仿宋" w:cs="仿宋"/>
          <w:kern w:val="0"/>
          <w:sz w:val="32"/>
          <w:szCs w:val="32"/>
        </w:rPr>
        <w:t>截至2021年12月31日，澄江市财政局资产总额71.49万元，其中，流动资产24.19万元，固定资产44.77万元，对外投资及有价证券0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万元，在建工程0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万元，无形资产2.53万元，其他资产0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万元（具体内容详见附表）。与上年相比，本年资产总额减少149.80万元，其中固定资产减少8.32万元。处置房屋建筑物0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平方米，账面原值0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万元；处置车辆0辆，账面原值0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万元；报废报损资产0项，账面原值0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万元，实现资产处置收入0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万元；出租房屋0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平方米，账面原值0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万元，实现资产使用收入0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w:t>
      </w:r>
    </w:p>
    <w:p>
      <w:pPr>
        <w:pStyle w:val="2"/>
        <w:rPr>
          <w:rFonts w:hint="eastAsia"/>
        </w:rPr>
      </w:pPr>
    </w:p>
    <w:tbl>
      <w:tblPr>
        <w:tblStyle w:val="11"/>
        <w:tblW w:w="9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7"/>
        <w:gridCol w:w="489"/>
        <w:gridCol w:w="740"/>
        <w:gridCol w:w="740"/>
        <w:gridCol w:w="739"/>
        <w:gridCol w:w="740"/>
        <w:gridCol w:w="739"/>
        <w:gridCol w:w="822"/>
        <w:gridCol w:w="740"/>
        <w:gridCol w:w="740"/>
        <w:gridCol w:w="740"/>
        <w:gridCol w:w="74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439" w:type="dxa"/>
            <w:gridSpan w:val="13"/>
            <w:tcBorders>
              <w:top w:val="nil"/>
              <w:left w:val="nil"/>
              <w:bottom w:val="nil"/>
              <w:right w:val="nil"/>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仿宋_GB2312" w:hAnsi="宋体" w:eastAsia="仿宋_GB2312" w:cs="仿宋_GB2312"/>
                <w:b/>
                <w:color w:val="000000"/>
                <w:kern w:val="0"/>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439" w:type="dxa"/>
            <w:gridSpan w:val="13"/>
            <w:tcBorders>
              <w:top w:val="nil"/>
              <w:left w:val="nil"/>
              <w:bottom w:val="single" w:color="auto" w:sz="4" w:space="0"/>
              <w:right w:val="nil"/>
            </w:tcBorders>
            <w:shd w:val="clear" w:color="auto" w:fill="FFFFFF"/>
            <w:noWrap w:val="0"/>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eastAsia" w:ascii="宋体" w:hAnsi="宋体" w:eastAsia="宋体" w:cs="宋体"/>
                <w:kern w:val="0"/>
                <w:sz w:val="24"/>
                <w:szCs w:val="24"/>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27"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项目</w:t>
            </w:r>
          </w:p>
        </w:tc>
        <w:tc>
          <w:tcPr>
            <w:tcW w:w="48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行次</w:t>
            </w:r>
          </w:p>
        </w:tc>
        <w:tc>
          <w:tcPr>
            <w:tcW w:w="74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资产总额</w:t>
            </w:r>
          </w:p>
        </w:tc>
        <w:tc>
          <w:tcPr>
            <w:tcW w:w="74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流动资产</w:t>
            </w:r>
          </w:p>
        </w:tc>
        <w:tc>
          <w:tcPr>
            <w:tcW w:w="3780"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固定资产</w:t>
            </w:r>
          </w:p>
        </w:tc>
        <w:tc>
          <w:tcPr>
            <w:tcW w:w="74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对外投资/有价证券</w:t>
            </w:r>
          </w:p>
        </w:tc>
        <w:tc>
          <w:tcPr>
            <w:tcW w:w="74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在建工程</w:t>
            </w:r>
          </w:p>
        </w:tc>
        <w:tc>
          <w:tcPr>
            <w:tcW w:w="74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无形资产</w:t>
            </w:r>
          </w:p>
        </w:tc>
        <w:tc>
          <w:tcPr>
            <w:tcW w:w="743"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27"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8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3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小计</w:t>
            </w:r>
          </w:p>
        </w:tc>
        <w:tc>
          <w:tcPr>
            <w:tcW w:w="74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房屋构筑物</w:t>
            </w:r>
          </w:p>
        </w:tc>
        <w:tc>
          <w:tcPr>
            <w:tcW w:w="739"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车辆</w:t>
            </w:r>
          </w:p>
        </w:tc>
        <w:tc>
          <w:tcPr>
            <w:tcW w:w="82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单价200万以上大型设备</w:t>
            </w:r>
          </w:p>
        </w:tc>
        <w:tc>
          <w:tcPr>
            <w:tcW w:w="740"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其他固定资产</w:t>
            </w: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727"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48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3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39"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82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c>
          <w:tcPr>
            <w:tcW w:w="743"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栏次</w:t>
            </w:r>
          </w:p>
        </w:tc>
        <w:tc>
          <w:tcPr>
            <w:tcW w:w="4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2</w:t>
            </w:r>
          </w:p>
        </w:tc>
        <w:tc>
          <w:tcPr>
            <w:tcW w:w="7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3</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4</w:t>
            </w:r>
          </w:p>
        </w:tc>
        <w:tc>
          <w:tcPr>
            <w:tcW w:w="7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5</w:t>
            </w:r>
          </w:p>
        </w:tc>
        <w:tc>
          <w:tcPr>
            <w:tcW w:w="82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6</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7</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8</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9</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10</w:t>
            </w:r>
          </w:p>
        </w:tc>
        <w:tc>
          <w:tcPr>
            <w:tcW w:w="7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合计</w:t>
            </w:r>
          </w:p>
        </w:tc>
        <w:tc>
          <w:tcPr>
            <w:tcW w:w="48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1</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71.49</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24.19</w:t>
            </w:r>
          </w:p>
        </w:tc>
        <w:tc>
          <w:tcPr>
            <w:tcW w:w="7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44.77</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0</w:t>
            </w:r>
            <w:r>
              <w:rPr>
                <w:rFonts w:hint="eastAsia" w:cs="宋体"/>
                <w:color w:val="000000"/>
                <w:kern w:val="0"/>
                <w:sz w:val="20"/>
                <w:szCs w:val="20"/>
                <w:lang w:val="en-US" w:eastAsia="zh-CN"/>
              </w:rPr>
              <w:t>.00</w:t>
            </w:r>
          </w:p>
        </w:tc>
        <w:tc>
          <w:tcPr>
            <w:tcW w:w="73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0</w:t>
            </w:r>
            <w:r>
              <w:rPr>
                <w:rFonts w:hint="eastAsia" w:cs="宋体"/>
                <w:color w:val="000000"/>
                <w:kern w:val="0"/>
                <w:sz w:val="20"/>
                <w:szCs w:val="20"/>
                <w:lang w:val="en-US" w:eastAsia="zh-CN"/>
              </w:rPr>
              <w:t>.00</w:t>
            </w:r>
          </w:p>
        </w:tc>
        <w:tc>
          <w:tcPr>
            <w:tcW w:w="82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0</w:t>
            </w:r>
            <w:r>
              <w:rPr>
                <w:rFonts w:hint="eastAsia" w:cs="宋体"/>
                <w:color w:val="000000"/>
                <w:kern w:val="0"/>
                <w:sz w:val="20"/>
                <w:szCs w:val="20"/>
                <w:lang w:val="en-US" w:eastAsia="zh-CN"/>
              </w:rPr>
              <w:t>.00</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44.77</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0</w:t>
            </w:r>
            <w:r>
              <w:rPr>
                <w:rFonts w:hint="eastAsia" w:cs="宋体"/>
                <w:color w:val="000000"/>
                <w:kern w:val="0"/>
                <w:sz w:val="20"/>
                <w:szCs w:val="20"/>
                <w:lang w:val="en-US" w:eastAsia="zh-CN"/>
              </w:rPr>
              <w:t>.00</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0</w:t>
            </w:r>
            <w:r>
              <w:rPr>
                <w:rFonts w:hint="eastAsia" w:cs="宋体"/>
                <w:color w:val="000000"/>
                <w:kern w:val="0"/>
                <w:sz w:val="20"/>
                <w:szCs w:val="20"/>
                <w:lang w:val="en-US" w:eastAsia="zh-CN"/>
              </w:rPr>
              <w:t>.00</w:t>
            </w:r>
          </w:p>
        </w:tc>
        <w:tc>
          <w:tcPr>
            <w:tcW w:w="74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2.53</w:t>
            </w:r>
          </w:p>
        </w:tc>
        <w:tc>
          <w:tcPr>
            <w:tcW w:w="743"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eastAsia" w:ascii="宋体" w:hAnsi="宋体" w:eastAsia="宋体" w:cs="宋体"/>
                <w:kern w:val="0"/>
                <w:sz w:val="24"/>
                <w:szCs w:val="24"/>
              </w:rPr>
            </w:pPr>
            <w:r>
              <w:rPr>
                <w:rFonts w:hint="eastAsia" w:ascii="宋体" w:hAnsi="宋体" w:eastAsia="宋体" w:cs="宋体"/>
                <w:color w:val="000000"/>
                <w:kern w:val="0"/>
                <w:sz w:val="20"/>
                <w:szCs w:val="20"/>
              </w:rPr>
              <w:t>0</w:t>
            </w:r>
            <w:r>
              <w:rPr>
                <w:rFonts w:hint="eastAsia" w:cs="宋体"/>
                <w:color w:val="000000"/>
                <w:kern w:val="0"/>
                <w:sz w:val="20"/>
                <w:szCs w:val="20"/>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9439" w:type="dxa"/>
            <w:gridSpan w:val="13"/>
            <w:tcBorders>
              <w:top w:val="single" w:color="auto" w:sz="4" w:space="0"/>
              <w:left w:val="nil"/>
              <w:bottom w:val="nil"/>
              <w:right w:val="nil"/>
            </w:tcBorders>
            <w:noWrap w:val="0"/>
            <w:tcMar>
              <w:left w:w="108" w:type="dxa"/>
              <w:right w:w="108" w:type="dxa"/>
            </w:tcMar>
            <w:vAlign w:val="bottom"/>
          </w:tcPr>
          <w:p>
            <w:pPr>
              <w:keepNext w:val="0"/>
              <w:keepLines w:val="0"/>
              <w:widowControl/>
              <w:suppressLineNumbers w:val="0"/>
              <w:spacing w:before="100" w:beforeAutospacing="1" w:after="100" w:afterAutospacing="1"/>
              <w:ind w:left="0" w:right="0"/>
              <w:jc w:val="left"/>
              <w:rPr>
                <w:rFonts w:hint="eastAsia" w:ascii="宋体" w:hAnsi="宋体" w:eastAsia="宋体" w:cs="宋体"/>
                <w:kern w:val="0"/>
                <w:sz w:val="24"/>
                <w:szCs w:val="24"/>
              </w:rPr>
            </w:pPr>
            <w:r>
              <w:rPr>
                <w:rFonts w:hint="eastAsia" w:ascii="宋体" w:hAnsi="宋体" w:eastAsia="宋体" w:cs="宋体"/>
                <w:color w:val="000000"/>
                <w:kern w:val="0"/>
                <w:sz w:val="20"/>
                <w:szCs w:val="20"/>
              </w:rPr>
              <w:t>填报说明：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439" w:type="dxa"/>
            <w:gridSpan w:val="13"/>
            <w:tcBorders>
              <w:top w:val="nil"/>
              <w:left w:val="nil"/>
              <w:bottom w:val="nil"/>
              <w:right w:val="nil"/>
            </w:tcBorders>
            <w:noWrap/>
            <w:tcMar>
              <w:left w:w="108" w:type="dxa"/>
              <w:right w:w="108" w:type="dxa"/>
            </w:tcMar>
            <w:vAlign w:val="bottom"/>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480" w:leftChars="200" w:right="0"/>
              <w:jc w:val="left"/>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1.资产总额＝流动资产＋固定资产＋对外投资／有价证券＋在建工程＋无形资产＋其他资产</w:t>
            </w:r>
            <w:r>
              <w:rPr>
                <w:rFonts w:hint="eastAsia" w:cs="宋体"/>
                <w:color w:val="000000"/>
                <w:kern w:val="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439" w:type="dxa"/>
            <w:gridSpan w:val="13"/>
            <w:tcBorders>
              <w:top w:val="nil"/>
              <w:left w:val="nil"/>
              <w:bottom w:val="nil"/>
              <w:right w:val="nil"/>
            </w:tcBorders>
            <w:noWrap/>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480" w:leftChars="200" w:right="0"/>
              <w:jc w:val="left"/>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2.固定资产＝房屋构筑物＋车辆＋单价200万元以上大型设备＋其他固定资产</w:t>
            </w:r>
            <w:r>
              <w:rPr>
                <w:rFonts w:hint="eastAsia" w:cs="宋体"/>
                <w:color w:val="000000"/>
                <w:kern w:val="0"/>
                <w:sz w:val="20"/>
                <w:szCs w:val="20"/>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9439" w:type="dxa"/>
            <w:gridSpan w:val="13"/>
            <w:tcBorders>
              <w:top w:val="nil"/>
              <w:left w:val="nil"/>
              <w:bottom w:val="nil"/>
              <w:right w:val="nil"/>
            </w:tcBorders>
            <w:noWrap/>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ind w:left="480" w:leftChars="200" w:right="0"/>
              <w:jc w:val="left"/>
              <w:textAlignment w:val="auto"/>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3.填报金额为资产“账面原值”</w:t>
            </w:r>
            <w:r>
              <w:rPr>
                <w:rFonts w:hint="eastAsia" w:cs="宋体"/>
                <w:color w:val="000000"/>
                <w:kern w:val="0"/>
                <w:sz w:val="20"/>
                <w:szCs w:val="20"/>
                <w:lang w:eastAsia="zh-CN"/>
              </w:rPr>
              <w:t>。</w:t>
            </w:r>
          </w:p>
        </w:tc>
      </w:tr>
    </w:tbl>
    <w:p>
      <w:pPr>
        <w:keepNext w:val="0"/>
        <w:keepLines w:val="0"/>
        <w:widowControl/>
        <w:suppressLineNumbers w:val="0"/>
        <w:topLinePunct/>
        <w:spacing w:before="0" w:beforeAutospacing="0" w:after="0" w:afterAutospacing="0" w:line="590" w:lineRule="atLeast"/>
        <w:ind w:left="0" w:right="0" w:firstLine="640"/>
        <w:jc w:val="both"/>
        <w:rPr>
          <w:rFonts w:hint="eastAsia" w:ascii="宋体" w:hAnsi="宋体" w:eastAsia="宋体" w:cs="宋体"/>
          <w:kern w:val="0"/>
          <w:sz w:val="24"/>
          <w:szCs w:val="24"/>
        </w:rPr>
      </w:pP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宋体" w:hAnsi="宋体" w:eastAsia="宋体" w:cs="宋体"/>
          <w:kern w:val="0"/>
          <w:sz w:val="24"/>
          <w:szCs w:val="24"/>
        </w:rPr>
      </w:pPr>
      <w:r>
        <w:rPr>
          <w:rFonts w:hint="eastAsia" w:ascii="黑体" w:hAnsi="黑体" w:eastAsia="黑体" w:cs="黑体"/>
          <w:kern w:val="0"/>
          <w:sz w:val="32"/>
          <w:szCs w:val="32"/>
        </w:rPr>
        <w:t>三、政府采购支出情况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2021年度，部门政府采购支出总额28.18万元，其中：政府采购货物支出11.18万元；政府采购工程支出0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万元；政府采购服务支出17</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万元。授予中小企业合同金额0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万元，占政府采购支出总额的0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黑体" w:hAnsi="黑体" w:eastAsia="黑体" w:cs="黑体"/>
          <w:kern w:val="0"/>
          <w:sz w:val="24"/>
          <w:szCs w:val="24"/>
        </w:rPr>
      </w:pPr>
      <w:r>
        <w:rPr>
          <w:rFonts w:hint="eastAsia" w:ascii="黑体" w:hAnsi="黑体" w:eastAsia="黑体" w:cs="黑体"/>
          <w:color w:val="000000"/>
          <w:kern w:val="0"/>
          <w:sz w:val="32"/>
          <w:szCs w:val="32"/>
        </w:rPr>
        <w:t>四、</w:t>
      </w:r>
      <w:r>
        <w:rPr>
          <w:rFonts w:hint="eastAsia" w:ascii="黑体" w:hAnsi="黑体" w:eastAsia="黑体" w:cs="黑体"/>
          <w:kern w:val="0"/>
          <w:sz w:val="32"/>
          <w:szCs w:val="32"/>
        </w:rPr>
        <w:t>部门绩效自评情况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根据澄江市财政局印发的《关于开展2021年度市级部门整体支出和项目支出预算绩效自评工作的通知》，</w:t>
      </w:r>
      <w:r>
        <w:rPr>
          <w:rFonts w:hint="eastAsia" w:ascii="仿宋" w:hAnsi="仿宋" w:eastAsia="仿宋" w:cs="仿宋"/>
          <w:color w:val="auto"/>
          <w:sz w:val="32"/>
          <w:szCs w:val="32"/>
          <w:lang w:eastAsia="zh-CN"/>
        </w:rPr>
        <w:t>澄江市财政局</w:t>
      </w:r>
      <w:r>
        <w:rPr>
          <w:rFonts w:hint="eastAsia" w:ascii="仿宋" w:hAnsi="仿宋" w:eastAsia="仿宋" w:cs="仿宋"/>
          <w:color w:val="auto"/>
          <w:sz w:val="32"/>
          <w:szCs w:val="32"/>
          <w:lang w:val="en-US" w:eastAsia="zh-CN"/>
        </w:rPr>
        <w:t>对2021年整体支出和项目支出进行了绩效自评，共涉及预算项目8个，其中，自评等级为“优”的7个，“良”的1个，“中”的0个，“差”的0个。</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部门绩效自评情况详见附表（附表10－附表12）。</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五、其他重要事项情况说明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无</w:t>
      </w:r>
      <w:r>
        <w:rPr>
          <w:rFonts w:hint="eastAsia" w:ascii="仿宋" w:hAnsi="仿宋" w:eastAsia="仿宋" w:cs="仿宋"/>
          <w:kern w:val="0"/>
          <w:sz w:val="32"/>
          <w:szCs w:val="32"/>
          <w:lang w:eastAsia="zh-CN"/>
        </w:rPr>
        <w:t>。</w:t>
      </w:r>
    </w:p>
    <w:p>
      <w:pPr>
        <w:keepNext w:val="0"/>
        <w:keepLines w:val="0"/>
        <w:widowControl/>
        <w:suppressLineNumbers w:val="0"/>
        <w:topLinePunct/>
        <w:spacing w:before="0" w:beforeAutospacing="0" w:after="0" w:afterAutospacing="0" w:line="590" w:lineRule="atLeast"/>
        <w:ind w:left="0" w:right="0" w:firstLine="640"/>
        <w:jc w:val="both"/>
        <w:rPr>
          <w:rFonts w:hint="eastAsia" w:ascii="黑体" w:hAnsi="黑体" w:eastAsia="黑体" w:cs="黑体"/>
          <w:kern w:val="0"/>
          <w:sz w:val="24"/>
          <w:szCs w:val="24"/>
        </w:rPr>
      </w:pPr>
      <w:r>
        <w:rPr>
          <w:rFonts w:hint="eastAsia" w:ascii="黑体" w:hAnsi="黑体" w:eastAsia="黑体" w:cs="黑体"/>
          <w:kern w:val="0"/>
          <w:sz w:val="32"/>
          <w:szCs w:val="32"/>
        </w:rPr>
        <w:t>六、相关口径说明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32"/>
          <w:szCs w:val="32"/>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24"/>
          <w:szCs w:val="24"/>
        </w:rPr>
      </w:pPr>
      <w:r>
        <w:rPr>
          <w:rFonts w:hint="eastAsia" w:ascii="仿宋" w:hAnsi="仿宋" w:eastAsia="仿宋" w:cs="仿宋"/>
          <w:kern w:val="0"/>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spacing w:before="0" w:beforeAutospacing="0" w:after="0" w:afterAutospacing="0" w:line="590" w:lineRule="atLeast"/>
        <w:ind w:left="0" w:right="0"/>
        <w:jc w:val="both"/>
        <w:rPr>
          <w:rFonts w:hint="eastAsia" w:ascii="宋体" w:hAnsi="宋体" w:eastAsia="宋体" w:cs="宋体"/>
          <w:kern w:val="0"/>
          <w:sz w:val="24"/>
          <w:szCs w:val="24"/>
        </w:rPr>
      </w:pPr>
    </w:p>
    <w:p>
      <w:pPr>
        <w:keepNext w:val="0"/>
        <w:keepLines w:val="0"/>
        <w:widowControl/>
        <w:suppressLineNumbers w:val="0"/>
        <w:topLinePunct/>
        <w:spacing w:before="0" w:beforeAutospacing="0" w:after="0" w:afterAutospacing="0" w:line="590" w:lineRule="atLeast"/>
        <w:ind w:left="0" w:right="0"/>
        <w:jc w:val="center"/>
        <w:rPr>
          <w:rFonts w:hint="eastAsia" w:ascii="黑体" w:hAnsi="黑体" w:eastAsia="黑体" w:cs="黑体"/>
          <w:kern w:val="0"/>
          <w:sz w:val="36"/>
          <w:szCs w:val="36"/>
        </w:rPr>
      </w:pPr>
      <w:r>
        <w:rPr>
          <w:rFonts w:hint="eastAsia" w:ascii="黑体" w:hAnsi="黑体" w:eastAsia="黑体" w:cs="黑体"/>
          <w:kern w:val="0"/>
          <w:sz w:val="36"/>
          <w:szCs w:val="36"/>
        </w:rPr>
        <w:t>第五部分  名词解释</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32"/>
          <w:szCs w:val="32"/>
        </w:rPr>
      </w:pPr>
      <w:r>
        <w:rPr>
          <w:rFonts w:hint="eastAsia" w:ascii="黑体" w:hAnsi="黑体" w:eastAsia="黑体" w:cs="黑体"/>
          <w:kern w:val="0"/>
          <w:sz w:val="32"/>
          <w:szCs w:val="32"/>
        </w:rPr>
        <w:t>一、政府采购</w:t>
      </w:r>
      <w:r>
        <w:rPr>
          <w:rFonts w:hint="eastAsia" w:ascii="黑体" w:hAnsi="黑体" w:eastAsia="黑体" w:cs="黑体"/>
          <w:kern w:val="0"/>
          <w:sz w:val="32"/>
          <w:szCs w:val="32"/>
          <w:lang w:eastAsia="zh-CN"/>
        </w:rPr>
        <w:t>。</w:t>
      </w:r>
      <w:r>
        <w:rPr>
          <w:rFonts w:hint="eastAsia" w:ascii="仿宋" w:hAnsi="仿宋" w:eastAsia="仿宋" w:cs="仿宋"/>
          <w:kern w:val="0"/>
          <w:sz w:val="32"/>
          <w:szCs w:val="32"/>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32"/>
          <w:szCs w:val="32"/>
        </w:rPr>
      </w:pPr>
      <w:r>
        <w:rPr>
          <w:rFonts w:hint="eastAsia" w:ascii="黑体" w:hAnsi="黑体" w:eastAsia="黑体" w:cs="黑体"/>
          <w:kern w:val="0"/>
          <w:sz w:val="32"/>
          <w:szCs w:val="32"/>
        </w:rPr>
        <w:t>二、一般公共预算收入</w:t>
      </w:r>
      <w:r>
        <w:rPr>
          <w:rFonts w:hint="eastAsia" w:ascii="黑体" w:hAnsi="黑体" w:eastAsia="黑体" w:cs="黑体"/>
          <w:kern w:val="0"/>
          <w:sz w:val="32"/>
          <w:szCs w:val="32"/>
          <w:lang w:eastAsia="zh-CN"/>
        </w:rPr>
        <w:t>。</w:t>
      </w:r>
      <w:r>
        <w:rPr>
          <w:rFonts w:hint="eastAsia" w:ascii="仿宋" w:hAnsi="仿宋" w:eastAsia="仿宋" w:cs="仿宋"/>
          <w:kern w:val="0"/>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32"/>
          <w:szCs w:val="32"/>
        </w:rPr>
      </w:pPr>
      <w:r>
        <w:rPr>
          <w:rFonts w:hint="eastAsia" w:ascii="黑体" w:hAnsi="黑体" w:eastAsia="黑体" w:cs="黑体"/>
          <w:kern w:val="0"/>
          <w:sz w:val="32"/>
          <w:szCs w:val="32"/>
        </w:rPr>
        <w:t>三、一般公共预算支出</w:t>
      </w:r>
      <w:r>
        <w:rPr>
          <w:rFonts w:hint="eastAsia" w:ascii="黑体" w:hAnsi="黑体" w:eastAsia="黑体" w:cs="黑体"/>
          <w:kern w:val="0"/>
          <w:sz w:val="32"/>
          <w:szCs w:val="32"/>
          <w:lang w:eastAsia="zh-CN"/>
        </w:rPr>
        <w:t>。</w:t>
      </w:r>
      <w:r>
        <w:rPr>
          <w:rFonts w:hint="eastAsia" w:ascii="仿宋" w:hAnsi="仿宋" w:eastAsia="仿宋" w:cs="仿宋"/>
          <w:kern w:val="0"/>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hint="eastAsia" w:ascii="仿宋" w:hAnsi="仿宋" w:eastAsia="仿宋" w:cs="仿宋"/>
          <w:kern w:val="0"/>
          <w:sz w:val="32"/>
          <w:szCs w:val="32"/>
        </w:rPr>
      </w:pPr>
      <w:r>
        <w:rPr>
          <w:rFonts w:hint="eastAsia" w:ascii="黑体" w:hAnsi="黑体" w:eastAsia="黑体" w:cs="黑体"/>
          <w:kern w:val="0"/>
          <w:sz w:val="32"/>
          <w:szCs w:val="32"/>
        </w:rPr>
        <w:t>四、“三公”经费</w:t>
      </w:r>
      <w:r>
        <w:rPr>
          <w:rFonts w:hint="eastAsia" w:ascii="黑体" w:hAnsi="黑体" w:eastAsia="黑体" w:cs="黑体"/>
          <w:kern w:val="0"/>
          <w:sz w:val="32"/>
          <w:szCs w:val="32"/>
          <w:lang w:eastAsia="zh-CN"/>
        </w:rPr>
        <w:t>。</w:t>
      </w:r>
      <w:r>
        <w:rPr>
          <w:rFonts w:hint="eastAsia" w:ascii="仿宋" w:hAnsi="仿宋" w:eastAsia="仿宋" w:cs="仿宋"/>
          <w:kern w:val="0"/>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hAnsi="Arial" w:eastAsia="Arial" w:cs="Arial"/>
          <w:b/>
          <w:sz w:val="36"/>
        </w:rPr>
      </w:pPr>
      <w:r>
        <w:rPr>
          <w:rFonts w:ascii="Arial" w:hAnsi="Arial" w:eastAsia="Arial" w:cs="Arial"/>
          <w:b/>
          <w:sz w:val="36"/>
        </w:rPr>
        <w:t>监督索引号53042200631801111</w:t>
      </w:r>
    </w:p>
    <w:sectPr>
      <w:pgSz w:w="11915" w:h="16851"/>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75A06"/>
    <w:multiLevelType w:val="multilevel"/>
    <w:tmpl w:val="AEF75A06"/>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endnotePr>
    <w:endnote w:id="0"/>
    <w:endnote w:id="1"/>
  </w:endnotePr>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jhhOWU3MDM1YmZhYzA2ZTY1ZTMzODA3ZGZkM2EifQ=="/>
  </w:docVars>
  <w:rsids>
    <w:rsidRoot w:val="00000000"/>
    <w:rsid w:val="2AF2530D"/>
    <w:rsid w:val="2C9E35EC"/>
    <w:rsid w:val="320E1149"/>
    <w:rsid w:val="33B52C6A"/>
    <w:rsid w:val="3EC13350"/>
    <w:rsid w:val="46EC6137"/>
    <w:rsid w:val="477702C8"/>
    <w:rsid w:val="4AB15509"/>
    <w:rsid w:val="54E278DD"/>
    <w:rsid w:val="57013E59"/>
    <w:rsid w:val="5BA451B6"/>
    <w:rsid w:val="662621C8"/>
    <w:rsid w:val="6DA16518"/>
    <w:rsid w:val="6F7A7B2A"/>
    <w:rsid w:val="7AF110C7"/>
    <w:rsid w:val="7DA315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spacing w:before="0" w:beforeAutospacing="0" w:after="0" w:afterAutospacing="0" w:line="276" w:lineRule="auto"/>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spacing w:before="100" w:beforeAutospacing="1" w:after="100" w:afterAutospacing="1"/>
      <w:ind w:left="0" w:right="0"/>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paragraph" w:styleId="5">
    <w:name w:val="heading 3"/>
    <w:basedOn w:val="1"/>
    <w:next w:val="1"/>
    <w:qFormat/>
    <w:uiPriority w:val="0"/>
    <w:pPr>
      <w:spacing w:before="100" w:beforeAutospacing="1" w:after="100" w:afterAutospacing="1"/>
      <w:ind w:left="0" w:right="0"/>
      <w:jc w:val="left"/>
      <w:outlineLvl w:val="2"/>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spacing w:before="100" w:beforeAutospacing="1" w:after="100" w:afterAutospacing="1"/>
      <w:ind w:left="0" w:right="0"/>
      <w:jc w:val="left"/>
      <w:outlineLvl w:val="3"/>
    </w:pPr>
    <w:rPr>
      <w:rFonts w:hint="eastAsia" w:ascii="宋体" w:hAnsi="宋体" w:eastAsia="宋体" w:cs="宋体"/>
      <w:b/>
      <w:kern w:val="0"/>
      <w:sz w:val="24"/>
      <w:szCs w:val="24"/>
      <w:lang w:val="en-US" w:eastAsia="zh-CN" w:bidi="ar"/>
    </w:rPr>
  </w:style>
  <w:style w:type="paragraph" w:styleId="7">
    <w:name w:val="heading 5"/>
    <w:basedOn w:val="1"/>
    <w:next w:val="1"/>
    <w:qFormat/>
    <w:uiPriority w:val="0"/>
    <w:pPr>
      <w:spacing w:before="100" w:beforeAutospacing="1" w:after="100" w:afterAutospacing="1"/>
      <w:ind w:left="0" w:right="0"/>
      <w:jc w:val="left"/>
      <w:outlineLvl w:val="4"/>
    </w:pPr>
    <w:rPr>
      <w:rFonts w:hint="eastAsia" w:ascii="宋体" w:hAnsi="宋体" w:eastAsia="宋体" w:cs="宋体"/>
      <w:b/>
      <w:kern w:val="0"/>
      <w:sz w:val="20"/>
      <w:szCs w:val="20"/>
      <w:lang w:val="en-US" w:eastAsia="zh-CN" w:bidi="ar"/>
    </w:rPr>
  </w:style>
  <w:style w:type="paragraph" w:styleId="8">
    <w:name w:val="heading 6"/>
    <w:basedOn w:val="1"/>
    <w:next w:val="1"/>
    <w:qFormat/>
    <w:uiPriority w:val="0"/>
    <w:pPr>
      <w:spacing w:before="100" w:beforeAutospacing="1" w:after="100" w:afterAutospacing="1"/>
      <w:ind w:left="0" w:right="0"/>
      <w:jc w:val="left"/>
      <w:outlineLvl w:val="5"/>
    </w:pPr>
    <w:rPr>
      <w:rFonts w:hint="eastAsia" w:ascii="宋体" w:hAnsi="宋体" w:eastAsia="宋体" w:cs="宋体"/>
      <w:b/>
      <w:kern w:val="0"/>
      <w:sz w:val="15"/>
      <w:szCs w:val="15"/>
      <w:lang w:val="en-US" w:eastAsia="zh-CN" w:bidi="ar"/>
    </w:rPr>
  </w:style>
  <w:style w:type="character" w:default="1" w:styleId="12">
    <w:name w:val="Default Paragraph Font"/>
    <w:unhideWhenUsed/>
    <w:qFormat/>
    <w:uiPriority w:val="99"/>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before="0" w:beforeAutospacing="0" w:after="0" w:afterAutospacing="0" w:line="300" w:lineRule="auto"/>
      <w:ind w:left="0" w:right="0" w:firstLine="556"/>
      <w:jc w:val="left"/>
    </w:pPr>
    <w:rPr>
      <w:rFonts w:hint="eastAsia" w:ascii="仿宋_GB2312" w:hAnsi="Times New Roman" w:eastAsia="仿宋_GB2312" w:cs="宋体"/>
      <w:kern w:val="0"/>
      <w:sz w:val="24"/>
      <w:szCs w:val="24"/>
      <w:lang w:val="en-US" w:eastAsia="zh-CN" w:bidi="ar"/>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4">
    <w:name w:val="p_MsoNormal"/>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5">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6">
    <w:name w:val="28"/>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17">
    <w:name w:val="HTML 预设格式 Char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8">
    <w:name w:val="16"/>
    <w:basedOn w:val="12"/>
    <w:qFormat/>
    <w:uiPriority w:val="0"/>
    <w:rPr>
      <w:rFonts w:hint="default" w:ascii="Times New Roman" w:hAnsi="Times New Roman" w:cs="Times New Roman"/>
    </w:rPr>
  </w:style>
  <w:style w:type="character" w:customStyle="1" w:styleId="19">
    <w:name w:val="15"/>
    <w:basedOn w:val="12"/>
    <w:uiPriority w:val="0"/>
    <w:rPr>
      <w:rFonts w:hint="default" w:ascii="Times New Roman" w:hAnsi="Times New Roman" w:cs="Times New Roman"/>
    </w:rPr>
  </w:style>
  <w:style w:type="character" w:customStyle="1" w:styleId="20">
    <w:name w:val="10"/>
    <w:basedOn w:val="12"/>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7633</Words>
  <Characters>8572</Characters>
  <Lines>1</Lines>
  <Paragraphs>1</Paragraphs>
  <TotalTime>8</TotalTime>
  <ScaleCrop>false</ScaleCrop>
  <LinksUpToDate>false</LinksUpToDate>
  <CharactersWithSpaces>8594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2022-09-30T03:51:00Z</dcterms:created>
  <dc:creator>Administrator</dc:creator>
  <cp:lastModifiedBy>张小多</cp:lastModifiedBy>
  <dcterms:modified xsi:type="dcterms:W3CDTF">2022-10-15T06:42:31Z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7069768E6FFF48A5B6EF14267D6158B9</vt:lpwstr>
  </property>
</Properties>
</file>