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Arial" w:hAnsi="Arial" w:eastAsia="Arial" w:cs="Arial"/>
          <w:b/>
          <w:sz w:val="36"/>
        </w:rPr>
      </w:pPr>
      <w:r>
        <w:rPr>
          <w:rFonts w:ascii="Arial" w:hAnsi="Arial" w:eastAsia="Arial" w:cs="Arial"/>
          <w:b/>
          <w:sz w:val="36"/>
        </w:rPr>
        <w:t>监督索引号53040300736002301000</w:t>
      </w:r>
    </w:p>
    <w:p>
      <w:pPr>
        <w:topLinePunct/>
        <w:autoSpaceDE w:val="0"/>
        <w:autoSpaceDN w:val="0"/>
        <w:spacing w:after="0" w:line="590" w:lineRule="atLeast"/>
        <w:jc w:val="center"/>
      </w:pPr>
      <w:r>
        <w:rPr>
          <w:rFonts w:hint="eastAsia" w:ascii="方正小标宋简体" w:hAnsi="方正小标宋简体" w:eastAsia="方正小标宋简体" w:cs="方正小标宋简体"/>
          <w:sz w:val="44"/>
          <w:szCs w:val="44"/>
        </w:rPr>
        <w:t>玉溪市江川区九溪镇中学</w:t>
      </w:r>
      <w:r>
        <w:rPr>
          <w:rFonts w:ascii="Times New Roman" w:hAnsi="Times New Roman" w:eastAsia="方正小标宋简体"/>
          <w:sz w:val="44"/>
          <w:szCs w:val="44"/>
        </w:rPr>
        <w:t>2021</w:t>
      </w:r>
      <w:r>
        <w:rPr>
          <w:rFonts w:ascii="方正小标宋简体" w:hAnsi="方正小标宋简体" w:eastAsia="方正小标宋简体" w:cs="方正小标宋简体"/>
          <w:sz w:val="44"/>
          <w:szCs w:val="44"/>
        </w:rPr>
        <w:t>年度部门决算</w:t>
      </w:r>
    </w:p>
    <w:p>
      <w:pPr>
        <w:topLinePunct/>
        <w:autoSpaceDE w:val="0"/>
        <w:autoSpaceDN w:val="0"/>
        <w:spacing w:after="0" w:line="590" w:lineRule="atLeast"/>
        <w:jc w:val="center"/>
      </w:pPr>
      <w:r>
        <w:rPr>
          <w:rFonts w:ascii="Times New Roman" w:hAnsi="Times New Roman"/>
          <w:sz w:val="36"/>
          <w:szCs w:val="36"/>
        </w:rPr>
        <w:t> </w:t>
      </w:r>
    </w:p>
    <w:p>
      <w:pPr>
        <w:topLinePunct/>
        <w:autoSpaceDE w:val="0"/>
        <w:autoSpaceDN w:val="0"/>
        <w:spacing w:after="0" w:line="590" w:lineRule="atLeast"/>
        <w:jc w:val="center"/>
      </w:pPr>
      <w:r>
        <w:rPr>
          <w:rFonts w:ascii="方正黑体_GBK" w:hAnsi="方正黑体_GBK" w:eastAsia="方正黑体_GBK" w:cs="方正黑体_GBK"/>
          <w:sz w:val="32"/>
          <w:szCs w:val="32"/>
        </w:rPr>
        <w:t>目  录</w:t>
      </w:r>
    </w:p>
    <w:p>
      <w:pPr>
        <w:topLinePunct/>
        <w:autoSpaceDE w:val="0"/>
        <w:autoSpaceDN w:val="0"/>
        <w:spacing w:after="0" w:line="590" w:lineRule="atLeast"/>
        <w:ind w:firstLine="640"/>
        <w:jc w:val="both"/>
      </w:pPr>
      <w:r>
        <w:rPr>
          <w:rFonts w:ascii="Times New Roman" w:hAnsi="Times New Roman"/>
          <w:sz w:val="32"/>
          <w:szCs w:val="32"/>
        </w:rPr>
        <w:t> </w:t>
      </w:r>
    </w:p>
    <w:p>
      <w:pPr>
        <w:topLinePunct/>
        <w:autoSpaceDE w:val="0"/>
        <w:autoSpaceDN w:val="0"/>
        <w:spacing w:after="0"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  玉溪市江川区九溪镇中学概况</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一、主要职能</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二、部门基本情况</w:t>
      </w:r>
    </w:p>
    <w:p>
      <w:pPr>
        <w:topLinePunct/>
        <w:autoSpaceDE w:val="0"/>
        <w:autoSpaceDN w:val="0"/>
        <w:spacing w:after="0" w:line="590" w:lineRule="atLeast"/>
        <w:ind w:firstLine="640"/>
        <w:jc w:val="both"/>
      </w:pPr>
      <w:r>
        <w:rPr>
          <w:rFonts w:ascii="Times New Roman" w:hAnsi="Times New Roman"/>
          <w:sz w:val="32"/>
          <w:szCs w:val="32"/>
        </w:rPr>
        <w:t> </w:t>
      </w:r>
    </w:p>
    <w:p>
      <w:pPr>
        <w:topLinePunct/>
        <w:autoSpaceDE w:val="0"/>
        <w:autoSpaceDN w:val="0"/>
        <w:spacing w:after="0" w:line="600" w:lineRule="exact"/>
        <w:ind w:firstLine="64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第二部分  2021年度部门决算表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一、收入支出决算总表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二、收入决算表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三、支出决算表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四、财政拨款收入支出决算总表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五、一般公共预算财政拨款收入支出决算表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六、一般公共预算财政拨款基本支出决算表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七、政府性基金预算财政拨款收入支出决算表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八、国有资本经营预算财政拨款收入支出决算表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九、“三公”经费、行政参公单位机关运行经费情况表</w:t>
      </w:r>
    </w:p>
    <w:p>
      <w:pPr>
        <w:topLinePunct/>
        <w:autoSpaceDE w:val="0"/>
        <w:autoSpaceDN w:val="0"/>
        <w:spacing w:after="0" w:line="590" w:lineRule="atLeast"/>
        <w:ind w:firstLine="640"/>
        <w:jc w:val="both"/>
      </w:pPr>
      <w:r>
        <w:rPr>
          <w:rFonts w:ascii="Times New Roman" w:hAnsi="Times New Roman"/>
          <w:sz w:val="32"/>
          <w:szCs w:val="32"/>
        </w:rPr>
        <w:t> </w:t>
      </w:r>
    </w:p>
    <w:p>
      <w:pPr>
        <w:topLinePunct/>
        <w:autoSpaceDE w:val="0"/>
        <w:autoSpaceDN w:val="0"/>
        <w:spacing w:after="0" w:line="600" w:lineRule="exact"/>
        <w:ind w:firstLine="64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第三部分  2021年度部门决算情况说明</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一、收入决算情况说明</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二、支出决算情况说明</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三、一般公共预算财政拨款支出决算情况说明</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四、一般公共预算财政拨款“三公”经费支出决算情况说明</w:t>
      </w:r>
    </w:p>
    <w:p>
      <w:pPr>
        <w:topLinePunct/>
        <w:autoSpaceDE w:val="0"/>
        <w:autoSpaceDN w:val="0"/>
        <w:spacing w:after="0" w:line="590" w:lineRule="atLeast"/>
        <w:ind w:firstLine="640"/>
        <w:jc w:val="both"/>
      </w:pPr>
      <w:r>
        <w:rPr>
          <w:rFonts w:ascii="Times New Roman" w:hAnsi="Times New Roman"/>
          <w:sz w:val="32"/>
          <w:szCs w:val="32"/>
        </w:rPr>
        <w:t> </w:t>
      </w:r>
    </w:p>
    <w:p>
      <w:pPr>
        <w:topLinePunct/>
        <w:autoSpaceDE w:val="0"/>
        <w:autoSpaceDN w:val="0"/>
        <w:spacing w:after="0" w:line="600" w:lineRule="exact"/>
        <w:ind w:firstLine="64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第四部分  其他重要事项及相关口径情况说明</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一、机关运行经费支出情况</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二、国有资产占用情况</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三、政府采购支出情况</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四、部门绩效自评情况</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（一）部门整体支出绩效自评情况</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（二）部门整体支出绩效自评表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（三）项目支出绩效自评表</w:t>
      </w:r>
    </w:p>
    <w:p>
      <w:pPr>
        <w:topLinePunct/>
        <w:autoSpaceDE w:val="0"/>
        <w:autoSpaceDN w:val="0"/>
        <w:spacing w:after="0" w:line="590" w:lineRule="atLeast"/>
        <w:ind w:firstLine="640"/>
        <w:jc w:val="both"/>
        <w:rPr>
          <w:sz w:val="32"/>
          <w:szCs w:val="32"/>
        </w:rPr>
      </w:pPr>
      <w:r>
        <w:rPr>
          <w:rFonts w:ascii="方正仿宋_GBK" w:hAnsi="方正仿宋_GBK" w:eastAsia="方正仿宋_GBK" w:cs="方正仿宋_GBK"/>
          <w:sz w:val="32"/>
          <w:szCs w:val="32"/>
        </w:rPr>
        <w:t>五、其他重要事项情况说明</w:t>
      </w:r>
    </w:p>
    <w:p>
      <w:pPr>
        <w:topLinePunct/>
        <w:autoSpaceDE w:val="0"/>
        <w:autoSpaceDN w:val="0"/>
        <w:spacing w:after="0" w:line="590" w:lineRule="atLeast"/>
        <w:ind w:firstLine="640"/>
        <w:jc w:val="both"/>
      </w:pPr>
      <w:r>
        <w:rPr>
          <w:rFonts w:ascii="Times New Roman" w:hAnsi="Times New Roman"/>
          <w:sz w:val="32"/>
          <w:szCs w:val="32"/>
        </w:rPr>
        <w:t> </w:t>
      </w:r>
    </w:p>
    <w:p>
      <w:pPr>
        <w:topLinePunct/>
        <w:autoSpaceDE w:val="0"/>
        <w:autoSpaceDN w:val="0"/>
        <w:spacing w:after="0" w:line="600" w:lineRule="exact"/>
        <w:ind w:firstLine="64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第五部分  名词解释</w:t>
      </w:r>
    </w:p>
    <w:p>
      <w:pPr>
        <w:topLinePunct/>
        <w:autoSpaceDE w:val="0"/>
        <w:autoSpaceDN w:val="0"/>
        <w:spacing w:after="0" w:line="590" w:lineRule="atLeast"/>
        <w:jc w:val="center"/>
        <w:rPr>
          <w:rFonts w:ascii="方正黑体_GBK" w:hAnsi="方正黑体_GBK" w:eastAsia="方正黑体_GBK" w:cs="方正黑体_GBK"/>
          <w:sz w:val="32"/>
          <w:szCs w:val="32"/>
        </w:rPr>
      </w:pPr>
      <w:r>
        <w:rPr>
          <w:rFonts w:ascii="Times New Roman" w:hAnsi="Times New Roman" w:eastAsia="宋体"/>
          <w:sz w:val="32"/>
          <w:szCs w:val="32"/>
        </w:rPr>
        <w:br w:type="page"/>
      </w:r>
      <w:r>
        <w:rPr>
          <w:rFonts w:ascii="方正黑体_GBK" w:hAnsi="方正黑体_GBK" w:eastAsia="方正黑体_GBK" w:cs="方正黑体_GBK"/>
          <w:sz w:val="32"/>
          <w:szCs w:val="32"/>
        </w:rPr>
        <w:t>第一部分  玉溪市江川区九溪镇中学概况</w:t>
      </w:r>
    </w:p>
    <w:p>
      <w:pPr>
        <w:topLinePunct/>
        <w:autoSpaceDE w:val="0"/>
        <w:autoSpaceDN w:val="0"/>
        <w:spacing w:after="0" w:line="590" w:lineRule="atLeast"/>
        <w:ind w:firstLine="600"/>
        <w:jc w:val="both"/>
      </w:pPr>
      <w:r>
        <w:rPr>
          <w:rFonts w:ascii="Times New Roman" w:hAnsi="Times New Roman"/>
          <w:sz w:val="32"/>
          <w:szCs w:val="32"/>
        </w:rPr>
        <w:t> </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一、主要职能</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（一）主要职能</w:t>
      </w:r>
    </w:p>
    <w:p>
      <w:pPr>
        <w:pStyle w:val="12"/>
        <w:spacing w:before="75" w:beforeAutospacing="0" w:afterAutospacing="0" w:line="555" w:lineRule="atLeast"/>
        <w:ind w:firstLine="645"/>
        <w:rPr>
          <w:rFonts w:ascii="Times New Roman" w:hAnsi="Times New Roman" w:eastAsia="方正仿宋_GBK"/>
          <w:sz w:val="32"/>
          <w:szCs w:val="32"/>
        </w:rPr>
      </w:pPr>
      <w:r>
        <w:rPr>
          <w:rFonts w:ascii="Times New Roman" w:hAnsi="Times New Roman" w:eastAsia="方正仿宋_GBK"/>
          <w:sz w:val="32"/>
          <w:szCs w:val="32"/>
        </w:rPr>
        <w:t>研究拟定全校教育发展战略法，贯彻执行党和国家的教育方针政策、法规；研究拟定学校发展规划和年度计划，组织实施教育体制和办学体制改革；管理和指导学校基础教育工作；确保普及九年义务教育工作成果；管理学校教育经费；管理学校教育经费，执行财务管理制度；负责和指导学校教职工的思想政治工作，规划学校品德教育、体育卫生教育、艺术教育和国防教育工作；负责做好社会治安综合治理及安全保卫工作。</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（二）2021年度重点工作任务介绍</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开展“一名党员一面旗帜”活动，发挥党员教师的先锋模范作用。加强教师职业道德教育，大力加强师德建设。建立入党积极分子学习小组，加强入积极分子的培养考查和新党员发展工作。加强党组织基层建设，注重党员廉洁自律教育。结合学校工作实际，加强与社区的联系，扎实开展“双报到双结对双评议”工作。加强师德师风建设，全面提升教师素质，铸造一支“敬业、精业、求真、求实”的教师队伍。全面加强学校安全工作，坚持预防为主、防治结合、加强教育，通过安全教育，增强学生的安全意识和自我防护能力，从而切实保障师生安全和财产不受损失，维护学校正常的教育教学秩序。完善教学管理机制，使之规范化，制度化。加强教学管理，落实教学常规。加大教学科研力度，促进教学质量提升。.认真做好控辍保学工作，采取有效措施控辍保学，做好流动人口子女、残疾及留守少年等入学就读工作，把辍学率控制在0.80%以内。进一步落实公物承包制，加强公物和水电管理。做好财务管理，规范财务制度；认真做好“三免一补”的各项工作。进一步加强校园文化建设，促进学校工作的有序进行。深入实际，摸清情况，继续做实精准扶贫工作。进一步加强对学校食堂的管理，做好“营养餐改善计划”工作。</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二、部门基本情况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（一）部门决算单位构成</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纳入玉溪市江川区九溪镇中学2021年度部门决算编报的单位共1个。其中：行政单位0个，参照公务员法管理的事业单位0个，其他事业单位1个。分别是：</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1.玉溪市江川区九溪镇中学。</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（二）部门人员和车辆的编制及实有情况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2021年末实有人员编制69人。其中：行政编制0人（含行政工勤编制0人），事业编制69人（含参公管理事业编制0人）；在职在编实有行政人员0人（含行政工勤人员0人），事业人员69人（含参公管理事业人员0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离退休人员7人。其中：离休0人，退休7人。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实有车辆编制0辆，在编实有车辆0辆。 </w:t>
      </w:r>
    </w:p>
    <w:p>
      <w:pPr>
        <w:topLinePunct/>
        <w:autoSpaceDE w:val="0"/>
        <w:autoSpaceDN w:val="0"/>
        <w:spacing w:after="0" w:line="590" w:lineRule="atLeast"/>
        <w:jc w:val="center"/>
        <w:rPr>
          <w:rFonts w:ascii="Times New Roman" w:hAnsi="Times New Roman" w:eastAsia="方正黑体_GBK"/>
          <w:sz w:val="32"/>
          <w:szCs w:val="32"/>
        </w:rPr>
      </w:pPr>
      <w:r>
        <w:rPr>
          <w:rFonts w:ascii="Times New Roman" w:hAnsi="Times New Roman" w:eastAsia="方正黑体_GBK"/>
          <w:sz w:val="32"/>
          <w:szCs w:val="32"/>
        </w:rPr>
        <w:t>第二部分  2021年度部门决算表</w:t>
      </w:r>
    </w:p>
    <w:p>
      <w:pPr>
        <w:topLinePunct/>
        <w:spacing w:after="0" w:line="590" w:lineRule="atLeast"/>
        <w:jc w:val="center"/>
        <w:rPr>
          <w:rFonts w:ascii="Times New Roman" w:hAnsi="Times New Roman" w:eastAsia="方正仿宋_GBK"/>
          <w:sz w:val="32"/>
          <w:szCs w:val="32"/>
        </w:rPr>
      </w:pPr>
      <w:r>
        <w:rPr>
          <w:rFonts w:ascii="Times New Roman" w:hAnsi="Times New Roman" w:eastAsia="方正仿宋_GBK"/>
          <w:sz w:val="32"/>
          <w:szCs w:val="32"/>
        </w:rPr>
        <w:t>（详见附件）</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玉溪市江川区九溪镇中学没有政府性基金收入，也没有使用政府性基金支出，故《政府性基金预算财政拨款收入支出决算表》无数据。</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玉溪市江川区九溪镇中学没有国有资本经营收入，也没有使用国有资本经营安排支出，故《国有资本经营预算财政笔款收入支出决算表》无数据。 </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玉溪市江川区九溪镇中学2021年度没有“三公”经费、行政参公单位机关运行经费收支，故《“三公”经费、行政参公单位机关运行经费情况表》无数据。</w:t>
      </w:r>
    </w:p>
    <w:p>
      <w:pPr>
        <w:topLinePunct/>
        <w:autoSpaceDE w:val="0"/>
        <w:autoSpaceDN w:val="0"/>
        <w:spacing w:after="0" w:line="590" w:lineRule="atLeast"/>
        <w:jc w:val="center"/>
        <w:rPr>
          <w:rFonts w:ascii="Times New Roman" w:hAnsi="Times New Roman" w:eastAsia="方正黑体_GBK"/>
          <w:sz w:val="32"/>
          <w:szCs w:val="32"/>
        </w:rPr>
      </w:pPr>
      <w:r>
        <w:rPr>
          <w:rFonts w:ascii="Times New Roman" w:hAnsi="Times New Roman" w:eastAsia="方正黑体_GBK"/>
          <w:sz w:val="32"/>
          <w:szCs w:val="32"/>
        </w:rPr>
        <w:t>第三部分  2021年度部门决算情况说明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一、收入决算情况说明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2021年度收入合计1,284.79万元。其中：财政拨款收入1,284.57万元，占总收入的99.98%；上级补助收入0.00万元，占总收入的0.00%；事业收入0.00万元（含教育收费0.00万元），占总收入的0.00%；经营收入0.00万元，占总收入的0.00%；附属单位缴款收入0.00万元，占总收入的0.00%；其他收入0.22万元，占总收入的0.02%。与上年收入合计1,565.92万元对比减少281.13万元，下降17.95%；财政拨款收入比上年1,565.30万元减少280.73万元，下降17.93%；其他收入比上年0.62万元减少0.40万元，下降64.52%，收入减少主要是一般公共预算财政拨款减少。</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二、支出决算情况说明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2021年度支出合计1,355.93万元。其中：基本支出1,236.79万元，占总支出的91.21%；项目支出119.14万元，占总支出的8.79%；上缴上级支出、经营支出、对附属单位补助支出共0.00万元，占总支出的0.00%。与上年支出合计1,534.38万元对比减少178.45万元，下降11.63%。其中：基本支出比上年1,381.75万元减少144.96万元，下降10.49%；项目支出比上年152.63万元减少33.49万元，下降21.94%；上缴上级支出、经营支出、对附属单位补助支出</w:t>
      </w:r>
      <w:r>
        <w:rPr>
          <w:rFonts w:ascii="Times New Roman" w:hAnsi="Times New Roman" w:eastAsia="方正仿宋_GBK"/>
          <w:sz w:val="32"/>
          <w:szCs w:val="32"/>
          <w:shd w:val="clear" w:color="auto" w:fill="FFFFFF"/>
        </w:rPr>
        <w:t>0.00万元，占总支出的0.00%，与上年对比无变化，本年及上年度均无该项支出</w:t>
      </w:r>
      <w:r>
        <w:rPr>
          <w:rFonts w:ascii="Times New Roman" w:hAnsi="Times New Roman" w:eastAsia="方正仿宋_GBK"/>
          <w:sz w:val="32"/>
          <w:szCs w:val="32"/>
        </w:rPr>
        <w:t>。支出减少主要因为人员支出和公用经费支出均减少。</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（一）基本支出情况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2021年度用于保障玉溪市江川区九溪镇中学机关、下属事业单位等机构正常运转的日常支出1,236.79万元，与上年对比基本支出比上年1,381.75</w:t>
      </w:r>
      <w:r>
        <w:rPr>
          <w:rFonts w:hint="eastAsia" w:ascii="Times New Roman" w:hAnsi="Times New Roman" w:eastAsia="方正仿宋_GBK"/>
          <w:sz w:val="32"/>
          <w:szCs w:val="32"/>
          <w:lang w:eastAsia="zh-CN"/>
        </w:rPr>
        <w:t>万元</w:t>
      </w:r>
      <w:r>
        <w:rPr>
          <w:rFonts w:ascii="Times New Roman" w:hAnsi="Times New Roman" w:eastAsia="方正仿宋_GBK"/>
          <w:sz w:val="32"/>
          <w:szCs w:val="32"/>
        </w:rPr>
        <w:t>减少144.96万元，下降10.49%，主要原因为人员调出人数减少，工资福利减少和公用经费缩减支出较大。包括基本工资、津贴补贴等人员经费支出1,194.76万元，占基本支出的96.60%。办公费、印刷费、水电费、办公设备购置等公用经费42.03万元，占基本支出的3.40%。</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（二）项目支出情况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度用于保障玉溪市江川区九溪镇中学机构、下属事业单位等机构为完成特定的行政工作任务或事业发展目标，用于专项业务工作的经费支出119.14万元。与上年对比项目支出比上年152.63万元减少33.49万元，下降21.94%，主要原因为区级财力缩减，对教育经费的保障投入较上年减少。具体项目开支及开展工作情况：初中教育经费使用114.41万元，其他普通教育支出4.73万元。</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三、一般公共预算财政拨款支出决算情况说明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（一）一般公共预算财政拨款支出决算总体情况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2021年度一般公共预算财政拨款支出1,355.93万元，占本年支出合计的100.00%。与上年1,534.36万元对比减少178.43万元，下降11.63%，主要原因为教职工人数减少，人员经费、公用经费支出和项目支出均有所减少。</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（二）一般公共预算财政拨款支出决算具体情况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1．一般公共服务（类）支出0.00万元，占一般公共预算财政拨款总支出的0.00%。玉溪市江川区九溪镇中学无此事项；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2．外交（类）支出0.00万元，占一般公共预算财政拨款总支出的0.00%。玉溪市江川区九溪镇中学无此事项；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3．国防（类）支出0.00万元，占一般公共预算财政拨款总支出的0.00%。玉溪市江川区九溪镇中学无此事项；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4．公共安全（类）支出0.00万元，占一般公共预算财政拨款总支出的0.00%。玉溪市江川区九溪镇中学无此事项；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5．教育（类）支出1,045.41万元，占一般公共预算财政拨款总支出的77.10%。主要用于初中教育1,040.68万元用于人员经费、公用经费和项目支出，其他普通教育支出4.73万元主要用于项目支出；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6．科学技术（类）支出0.00万元，占一般公共预算财政拨款总支出的0.00%。玉溪市江川区九溪镇中学无此事项；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7．文化旅游体育与传媒（类）支出0.00万元，占一般公共预算财政拨款总支出的0.00%。玉溪市江川区九溪镇中学无此事项；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8．社会保障和就业（类）支出113.02万元，占一般公共预算财政拨款总支出的8.34%。主要用于教职工养老保险102.10万元，离退休人员补助10.92万元；</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9．卫生健康（类）支出88.58万元，占一般公共预算财政拨款总支出的6.53%。主要用于教职工医疗保险54.76万元，公务员医疗补助33.82万元；</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10．节能环保（类）支出0.00万元，占一般公共预算财政拨款总支出的0.00%。玉溪市江川区九溪镇中学无此事项；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11．城乡社区（类）支出0.00万元，占一般公共预算财政拨款总支出的0.00%。玉溪市江川区九溪镇中学无此事项；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12．农林水（类）支出0.00万元，占一般公共预算财政拨款总支出的0.00%。玉溪市江川区九溪镇中学无此事项；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13．交通运输（类）支出0.00万元，占一般公共预算财政拨款总支出的0.00%。玉溪市江川区九溪镇中学无此事项；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14．资源勘探工业信息等（类）支出类0.00万元，占一般公共预算财政拨款总支出的0.00%。玉溪市江川区九溪镇中学无此事项；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15．商业服务业等（类）支出0.00万元，占一般公共预算财政拨款总支出的0.00%。玉溪市江川区九溪镇中学无此事项；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16．金融（类）支出0.00万元，占一般公共预算财政拨款总支出的0.00%。玉溪市江川区九溪镇中学无此事项；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17．援助其他地区（类）支出0.00万元，占一般公共预算财政拨款总支出的0.00%。玉溪市江川区九溪镇中学无此事项；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18．自然资源海洋气象等（类）支出0.00万元，占一般公共预算财政拨款总支出的0.00%。玉溪市江川区九溪镇中学无此事项；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19．住房保障（类）支出108.92万元，占一般公共预算财政拨款总支出的8.03%。主要用于公积金缴费支出；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20．粮油物资储备（类）支出0.00万元，占一般公共预算财政拨款总支出的0.00%。玉溪市江川区九溪镇中学无此事项；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21．国有资本经营预算（类）支出0.00万元，占一般公共预算财政拨款总支出的0.00%。玉溪市江川区九溪镇中学无此事项；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22．灾害防治及应急管理（类）支出0.00万元，占一般公共预算财政拨款总支出的0.00%。玉溪市江川区九溪镇中学无此事项；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23．其他（类）支出0.00万元，占一般公共预算财政拨款总支出的0.00%。玉溪市江川区九溪镇中学无此事项；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24．债务还本（类）支出0.00万元，占一般公共预算财政拨款总支出的0.00%。玉溪市江川区九溪镇中学无此事项；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25．债务付息（类）支出0.00万元，占一般公共预算财政拨款总支出的0.00%。玉溪市江川区九溪镇中学无此事项；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26．抗疫特别国债安排（类）支出0.00万元，占一般公共预算财政拨款总支出的0.00%。玉溪市江川区九溪镇中学无此事项；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四、一般公共预算财政拨款“三公”经费支出决算情况说明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（一）一般公共预算财政拨款“三公”经费支出决算总体情况</w:t>
      </w:r>
    </w:p>
    <w:p>
      <w:pPr>
        <w:topLinePunct/>
        <w:spacing w:after="0" w:line="590" w:lineRule="atLeast"/>
        <w:ind w:firstLine="640"/>
        <w:jc w:val="both"/>
        <w:rPr>
          <w:rFonts w:ascii="Times New Roman" w:hAnsi="Times New Roman" w:eastAsia="方正仿宋_GBK"/>
          <w:sz w:val="32"/>
          <w:szCs w:val="32"/>
          <w:highlight w:val="yellow"/>
        </w:rPr>
      </w:pPr>
      <w:r>
        <w:rPr>
          <w:rFonts w:ascii="Times New Roman" w:hAnsi="Times New Roman" w:eastAsia="方正仿宋_GBK"/>
          <w:sz w:val="32"/>
          <w:szCs w:val="32"/>
        </w:rPr>
        <w:t>玉溪市江川区九溪镇中学2021年度一般公共预算财政拨款“三公”经费支出预算为0.00万元，支出决算为0.00万元，完成预算的</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。其中：因公出国（境）费支出决算为0.00万元，完成预算的</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；公务用车购置及运行费支出决算为0.00万元，完成预算的</w:t>
      </w:r>
      <w:r>
        <w:rPr>
          <w:rFonts w:hint="eastAsia" w:ascii="Times New Roman" w:hAnsi="Times New Roman" w:eastAsia="方正仿宋_GBK"/>
          <w:sz w:val="32"/>
          <w:szCs w:val="32"/>
          <w:lang w:val="en-US" w:eastAsia="zh-CN"/>
        </w:rPr>
        <w:t>0.00%</w:t>
      </w:r>
      <w:r>
        <w:rPr>
          <w:rFonts w:ascii="Times New Roman" w:hAnsi="Times New Roman" w:eastAsia="方正仿宋_GBK"/>
          <w:sz w:val="32"/>
          <w:szCs w:val="32"/>
        </w:rPr>
        <w:t>；公务接待费支出决算为0.00万元，完成预算的</w:t>
      </w:r>
      <w:r>
        <w:rPr>
          <w:rFonts w:hint="eastAsia" w:ascii="Times New Roman" w:hAnsi="Times New Roman" w:eastAsia="方正仿宋_GBK"/>
          <w:sz w:val="32"/>
          <w:szCs w:val="32"/>
          <w:lang w:val="en-US" w:eastAsia="zh-CN"/>
        </w:rPr>
        <w:t>0.00%</w:t>
      </w:r>
      <w:bookmarkStart w:id="0" w:name="_GoBack"/>
      <w:bookmarkEnd w:id="0"/>
      <w:r>
        <w:rPr>
          <w:rFonts w:ascii="Times New Roman" w:hAnsi="Times New Roman" w:eastAsia="方正仿宋_GBK"/>
          <w:sz w:val="32"/>
          <w:szCs w:val="32"/>
        </w:rPr>
        <w:t>。2021年度一般公共预算财政拨款“三公”经费支出决算数等于预算数，原因是：本单位2021年度无“三公”经费年初预算数及年末决算支出数。</w:t>
      </w:r>
    </w:p>
    <w:p>
      <w:pPr>
        <w:topLinePunct/>
        <w:spacing w:after="0" w:line="590" w:lineRule="atLeast"/>
        <w:ind w:firstLine="640"/>
        <w:jc w:val="both"/>
        <w:rPr>
          <w:rFonts w:ascii="Times New Roman" w:hAnsi="Times New Roman" w:eastAsia="方正仿宋_GBK"/>
          <w:sz w:val="32"/>
          <w:szCs w:val="32"/>
          <w:highlight w:val="yellow"/>
        </w:rPr>
      </w:pPr>
      <w:r>
        <w:rPr>
          <w:rFonts w:ascii="Times New Roman" w:hAnsi="Times New Roman" w:eastAsia="方正仿宋_GBK"/>
          <w:sz w:val="32"/>
          <w:szCs w:val="32"/>
        </w:rPr>
        <w:t>2021年度一般公共预算财政拨款“三公”经费支出决算数比2020年增加0.00万元，增长0.00%。其中：因公出国（境）费支出决算增加0.00万元，增长0.00%；公务用车购置及运行费支出决算增加0.00万元，增长0.00%；公务接待费支出决算增加0.00万元，增长0.00%。2021年度一般公共预算财政拨款“三公”经费支出决算无变化，原因是：本单位2021年度及上年度均无“三公”经费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(二)一般公共预算财政拨款“三公”经费支出决算具体情况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2021年度一般公共预算财政拨款“三公”经费支出决算中，因公出国（境）费支出0.00万元，占0.00%；公务用车购置及运行维护费支出0.00万元，占0.00%；公务接待费支出0.00万元，占0.00%。具体情况如下：</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1．因公出国（境）费支出0.00万元，共安排因公出国（境）团组0个，累计0人次。本部门本年度未安排因公出国（境）。</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2．公务用车购置及运行维护费支出0.00万元。其中：</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公务用车购置支出0.00万元，购置车辆0辆。本部门本年度未购买公车。</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公务用车运行维护支出0.00万元，开支一般公共预算财政拨款的公务用车保有量为0辆。本单位无此项支出。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3．公务接待费支出0.00万元。其中：</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国内接待费支出0.00万元（其中：外事接待费支出0.00万元），共安排国内公务接待0批次（其中：外事接待0批次），接待人次0人（其中：外事接待人次0人）。本部门本年度未开展国内接待。</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国（境）外接待费支出0.00万元，共安排国（境）外公务接待0批次，接待人次0人。本部门本年度未安排国（境）外接待。</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 </w:t>
      </w:r>
    </w:p>
    <w:p>
      <w:pPr>
        <w:topLinePunct/>
        <w:autoSpaceDE w:val="0"/>
        <w:autoSpaceDN w:val="0"/>
        <w:spacing w:after="0" w:line="590" w:lineRule="atLeast"/>
        <w:jc w:val="center"/>
        <w:rPr>
          <w:rFonts w:ascii="Times New Roman" w:hAnsi="Times New Roman" w:eastAsia="方正黑体_GBK"/>
          <w:sz w:val="32"/>
          <w:szCs w:val="32"/>
        </w:rPr>
      </w:pPr>
      <w:r>
        <w:rPr>
          <w:rFonts w:ascii="Times New Roman" w:hAnsi="Times New Roman" w:eastAsia="方正黑体_GBK"/>
          <w:sz w:val="32"/>
          <w:szCs w:val="32"/>
        </w:rPr>
        <w:t>第四部分  其他重要事项及相关口径情况说明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一、机关运行经费支出情况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玉溪市江川区九溪镇中学2021年机关运行经费支出0.00万元，与上年机关运行经费0.00万元对比无变化。主要原因分析我单位为事业单位，无机关运行经费。</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二、国有资产占用情况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截至2021年12月31日，玉溪市江川区九溪镇中学资产总额240.13万元，其中，流动资产25.73万元，固定资产147.42万元，对外投资及有价证券0.00万元，在建工程66.98万元，无形资产0.00万元，其他资产0.00万元（具体内容详见附表）。与上年相比，本年资产总额减少122.81万元，其中固定资产减少365.09万元。处置房屋建筑物0.00平方米，账面原值0.00万元；处置车辆0辆，账面原值0.00万元；报废报损资产0项，账面原值0.00万元，实现资产处置收入0.00万元；出租房屋0.00平方米，账面原值0.00万元，实现资产使用收入0.00万元。</w:t>
      </w:r>
    </w:p>
    <w:tbl>
      <w:tblPr>
        <w:tblStyle w:val="14"/>
        <w:tblW w:w="9333" w:type="dxa"/>
        <w:jc w:val="center"/>
        <w:tblInd w:w="0" w:type="dxa"/>
        <w:tblLayout w:type="fixed"/>
        <w:tblCellMar>
          <w:top w:w="0" w:type="dxa"/>
          <w:left w:w="0" w:type="dxa"/>
          <w:bottom w:w="0" w:type="dxa"/>
          <w:right w:w="0" w:type="dxa"/>
        </w:tblCellMar>
      </w:tblPr>
      <w:tblGrid>
        <w:gridCol w:w="727"/>
        <w:gridCol w:w="489"/>
        <w:gridCol w:w="852"/>
        <w:gridCol w:w="744"/>
        <w:gridCol w:w="864"/>
        <w:gridCol w:w="828"/>
        <w:gridCol w:w="410"/>
        <w:gridCol w:w="841"/>
        <w:gridCol w:w="825"/>
        <w:gridCol w:w="636"/>
        <w:gridCol w:w="751"/>
        <w:gridCol w:w="773"/>
        <w:gridCol w:w="593"/>
      </w:tblGrid>
      <w:tr>
        <w:tblPrEx>
          <w:tblLayout w:type="fixed"/>
          <w:tblCellMar>
            <w:top w:w="0" w:type="dxa"/>
            <w:left w:w="0" w:type="dxa"/>
            <w:bottom w:w="0" w:type="dxa"/>
            <w:right w:w="0" w:type="dxa"/>
          </w:tblCellMar>
        </w:tblPrEx>
        <w:trPr>
          <w:trHeight w:val="390" w:hRule="atLeast"/>
          <w:jc w:val="center"/>
        </w:trPr>
        <w:tc>
          <w:tcPr>
            <w:tcW w:w="9333" w:type="dxa"/>
            <w:gridSpan w:val="13"/>
            <w:shd w:val="clear" w:color="auto" w:fill="FFFFFF"/>
            <w:tcMar>
              <w:left w:w="108" w:type="dxa"/>
              <w:right w:w="108" w:type="dxa"/>
            </w:tcMar>
            <w:vAlign w:val="center"/>
          </w:tcPr>
          <w:p>
            <w:pPr>
              <w:topLinePunct/>
              <w:spacing w:after="0" w:line="590" w:lineRule="atLeast"/>
              <w:ind w:firstLine="640"/>
              <w:jc w:val="center"/>
              <w:rPr>
                <w:rFonts w:ascii="Times New Roman" w:hAnsi="Times New Roman" w:eastAsia="方正仿宋_GBK"/>
                <w:sz w:val="32"/>
                <w:szCs w:val="32"/>
              </w:rPr>
            </w:pPr>
            <w:r>
              <w:rPr>
                <w:rFonts w:ascii="Times New Roman" w:hAnsi="Times New Roman" w:eastAsia="方正仿宋_GBK"/>
                <w:sz w:val="32"/>
                <w:szCs w:val="32"/>
              </w:rPr>
              <w:t>国有资产占有使用情况表</w:t>
            </w:r>
          </w:p>
        </w:tc>
      </w:tr>
      <w:tr>
        <w:tblPrEx>
          <w:tblLayout w:type="fixed"/>
          <w:tblCellMar>
            <w:top w:w="0" w:type="dxa"/>
            <w:left w:w="0" w:type="dxa"/>
            <w:bottom w:w="0" w:type="dxa"/>
            <w:right w:w="0" w:type="dxa"/>
          </w:tblCellMar>
        </w:tblPrEx>
        <w:trPr>
          <w:trHeight w:val="558" w:hRule="atLeast"/>
          <w:jc w:val="center"/>
        </w:trPr>
        <w:tc>
          <w:tcPr>
            <w:tcW w:w="5755" w:type="dxa"/>
            <w:gridSpan w:val="8"/>
            <w:shd w:val="clear" w:color="auto" w:fill="FFFFFF"/>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825" w:type="dxa"/>
            <w:shd w:val="clear" w:color="auto" w:fill="FFFFFF"/>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2753" w:type="dxa"/>
            <w:gridSpan w:val="4"/>
            <w:tcBorders>
              <w:top w:val="nil"/>
              <w:left w:val="nil"/>
              <w:bottom w:val="single" w:color="auto" w:sz="8" w:space="0"/>
              <w:right w:val="nil"/>
            </w:tcBorders>
            <w:shd w:val="clear" w:color="auto" w:fill="FFFFFF"/>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r>
              <w:rPr>
                <w:rFonts w:ascii="Times New Roman" w:hAnsi="Times New Roman" w:eastAsia="宋体"/>
                <w:sz w:val="20"/>
                <w:szCs w:val="20"/>
              </w:rPr>
              <w:t>单位：万元</w:t>
            </w:r>
          </w:p>
        </w:tc>
      </w:tr>
      <w:tr>
        <w:tblPrEx>
          <w:tblLayout w:type="fixed"/>
          <w:tblCellMar>
            <w:top w:w="0" w:type="dxa"/>
            <w:left w:w="0" w:type="dxa"/>
            <w:bottom w:w="0" w:type="dxa"/>
            <w:right w:w="0" w:type="dxa"/>
          </w:tblCellMar>
        </w:tblPrEx>
        <w:trPr>
          <w:trHeight w:val="430" w:hRule="atLeast"/>
          <w:jc w:val="center"/>
        </w:trPr>
        <w:tc>
          <w:tcPr>
            <w:tcW w:w="727"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项目</w:t>
            </w:r>
          </w:p>
        </w:tc>
        <w:tc>
          <w:tcPr>
            <w:tcW w:w="489"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行次</w:t>
            </w:r>
          </w:p>
        </w:tc>
        <w:tc>
          <w:tcPr>
            <w:tcW w:w="85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资产总额</w:t>
            </w:r>
          </w:p>
        </w:tc>
        <w:tc>
          <w:tcPr>
            <w:tcW w:w="74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流动资产</w:t>
            </w:r>
          </w:p>
        </w:tc>
        <w:tc>
          <w:tcPr>
            <w:tcW w:w="376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r>
              <w:rPr>
                <w:rFonts w:ascii="Times New Roman" w:hAnsi="Times New Roman" w:eastAsia="宋体"/>
                <w:sz w:val="20"/>
                <w:szCs w:val="20"/>
              </w:rPr>
              <w:t>固定资产</w:t>
            </w:r>
          </w:p>
        </w:tc>
        <w:tc>
          <w:tcPr>
            <w:tcW w:w="63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r>
              <w:rPr>
                <w:rFonts w:ascii="Times New Roman" w:hAnsi="Times New Roman" w:eastAsia="宋体"/>
                <w:sz w:val="20"/>
                <w:szCs w:val="20"/>
              </w:rPr>
              <w:t>对外投资/有价证券</w:t>
            </w:r>
          </w:p>
        </w:tc>
        <w:tc>
          <w:tcPr>
            <w:tcW w:w="751"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在建工程</w:t>
            </w:r>
          </w:p>
        </w:tc>
        <w:tc>
          <w:tcPr>
            <w:tcW w:w="77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无形资产</w:t>
            </w:r>
          </w:p>
        </w:tc>
        <w:tc>
          <w:tcPr>
            <w:tcW w:w="593"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其他资产</w:t>
            </w:r>
          </w:p>
        </w:tc>
      </w:tr>
      <w:tr>
        <w:tblPrEx>
          <w:tblLayout w:type="fixed"/>
          <w:tblCellMar>
            <w:top w:w="0" w:type="dxa"/>
            <w:left w:w="0" w:type="dxa"/>
            <w:bottom w:w="0" w:type="dxa"/>
            <w:right w:w="0" w:type="dxa"/>
          </w:tblCellMar>
        </w:tblPrEx>
        <w:trPr>
          <w:trHeight w:val="270" w:hRule="atLeast"/>
          <w:jc w:val="center"/>
        </w:trPr>
        <w:tc>
          <w:tcPr>
            <w:tcW w:w="727"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489"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85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74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小计</w:t>
            </w:r>
          </w:p>
        </w:tc>
        <w:tc>
          <w:tcPr>
            <w:tcW w:w="828"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color w:val="000000"/>
                <w:sz w:val="20"/>
                <w:szCs w:val="20"/>
              </w:rPr>
              <w:t>房屋构筑物</w:t>
            </w:r>
          </w:p>
        </w:tc>
        <w:tc>
          <w:tcPr>
            <w:tcW w:w="410"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color w:val="000000"/>
                <w:sz w:val="20"/>
                <w:szCs w:val="20"/>
              </w:rPr>
              <w:t>车辆</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单价200万以上大型设备</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其他固定资产</w:t>
            </w:r>
          </w:p>
        </w:tc>
        <w:tc>
          <w:tcPr>
            <w:tcW w:w="63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751"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77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c>
          <w:tcPr>
            <w:tcW w:w="593"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p>
        </w:tc>
      </w:tr>
      <w:tr>
        <w:tblPrEx>
          <w:tblLayout w:type="fixed"/>
          <w:tblCellMar>
            <w:top w:w="0" w:type="dxa"/>
            <w:left w:w="0" w:type="dxa"/>
            <w:bottom w:w="0" w:type="dxa"/>
            <w:right w:w="0" w:type="dxa"/>
          </w:tblCellMar>
        </w:tblPrEx>
        <w:trPr>
          <w:trHeight w:val="499"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栏次</w:t>
            </w:r>
          </w:p>
        </w:tc>
        <w:tc>
          <w:tcPr>
            <w:tcW w:w="48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p>
        </w:tc>
        <w:tc>
          <w:tcPr>
            <w:tcW w:w="85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1</w:t>
            </w:r>
          </w:p>
        </w:tc>
        <w:tc>
          <w:tcPr>
            <w:tcW w:w="74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2</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3</w:t>
            </w:r>
          </w:p>
        </w:tc>
        <w:tc>
          <w:tcPr>
            <w:tcW w:w="82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4</w:t>
            </w:r>
          </w:p>
        </w:tc>
        <w:tc>
          <w:tcPr>
            <w:tcW w:w="4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5</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6</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7</w:t>
            </w:r>
          </w:p>
        </w:tc>
        <w:tc>
          <w:tcPr>
            <w:tcW w:w="6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8</w:t>
            </w:r>
          </w:p>
        </w:tc>
        <w:tc>
          <w:tcPr>
            <w:tcW w:w="7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9</w:t>
            </w:r>
          </w:p>
        </w:tc>
        <w:tc>
          <w:tcPr>
            <w:tcW w:w="7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10</w:t>
            </w:r>
          </w:p>
        </w:tc>
        <w:tc>
          <w:tcPr>
            <w:tcW w:w="59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spacing w:before="100" w:after="100"/>
              <w:jc w:val="center"/>
              <w:rPr>
                <w:rFonts w:ascii="Times New Roman" w:hAnsi="Times New Roman" w:cs="Times New Roman"/>
                <w:sz w:val="20"/>
                <w:szCs w:val="20"/>
              </w:rPr>
            </w:pPr>
            <w:r>
              <w:rPr>
                <w:rFonts w:ascii="Times New Roman" w:hAnsi="Times New Roman" w:cs="Times New Roman"/>
                <w:color w:val="000000"/>
                <w:sz w:val="20"/>
                <w:szCs w:val="20"/>
              </w:rPr>
              <w:t>11</w:t>
            </w:r>
          </w:p>
        </w:tc>
      </w:tr>
      <w:tr>
        <w:tblPrEx>
          <w:tblLayout w:type="fixed"/>
          <w:tblCellMar>
            <w:top w:w="0" w:type="dxa"/>
            <w:left w:w="0" w:type="dxa"/>
            <w:bottom w:w="0" w:type="dxa"/>
            <w:right w:w="0" w:type="dxa"/>
          </w:tblCellMar>
        </w:tblPrEx>
        <w:trPr>
          <w:trHeight w:val="468" w:hRule="atLeast"/>
          <w:jc w:val="center"/>
        </w:trPr>
        <w:tc>
          <w:tcPr>
            <w:tcW w:w="72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小计</w:t>
            </w:r>
          </w:p>
        </w:tc>
        <w:tc>
          <w:tcPr>
            <w:tcW w:w="489"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ind w:firstLine="640"/>
              <w:jc w:val="center"/>
              <w:rPr>
                <w:rFonts w:ascii="Times New Roman" w:hAnsi="Times New Roman" w:eastAsia="宋体"/>
                <w:sz w:val="20"/>
                <w:szCs w:val="20"/>
              </w:rPr>
            </w:pPr>
            <w:r>
              <w:rPr>
                <w:rFonts w:ascii="Times New Roman" w:hAnsi="Times New Roman" w:eastAsia="宋体"/>
                <w:sz w:val="20"/>
                <w:szCs w:val="20"/>
              </w:rPr>
              <w:t>1</w:t>
            </w:r>
          </w:p>
        </w:tc>
        <w:tc>
          <w:tcPr>
            <w:tcW w:w="852"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240.13</w:t>
            </w:r>
          </w:p>
        </w:tc>
        <w:tc>
          <w:tcPr>
            <w:tcW w:w="744"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25.73</w:t>
            </w:r>
          </w:p>
        </w:tc>
        <w:tc>
          <w:tcPr>
            <w:tcW w:w="864"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147.42</w:t>
            </w:r>
          </w:p>
        </w:tc>
        <w:tc>
          <w:tcPr>
            <w:tcW w:w="828"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141.08</w:t>
            </w:r>
          </w:p>
        </w:tc>
        <w:tc>
          <w:tcPr>
            <w:tcW w:w="410"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0</w:t>
            </w:r>
            <w:r>
              <w:rPr>
                <w:rFonts w:hint="eastAsia" w:ascii="Times New Roman" w:hAnsi="Times New Roman" w:eastAsia="宋体"/>
                <w:sz w:val="20"/>
                <w:szCs w:val="20"/>
              </w:rPr>
              <w:t>.00</w:t>
            </w:r>
          </w:p>
        </w:tc>
        <w:tc>
          <w:tcPr>
            <w:tcW w:w="841"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0.00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6.34</w:t>
            </w:r>
          </w:p>
        </w:tc>
        <w:tc>
          <w:tcPr>
            <w:tcW w:w="6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0</w:t>
            </w:r>
            <w:r>
              <w:rPr>
                <w:rFonts w:hint="eastAsia" w:ascii="Times New Roman" w:hAnsi="Times New Roman" w:eastAsia="宋体"/>
                <w:sz w:val="20"/>
                <w:szCs w:val="20"/>
              </w:rPr>
              <w:t>.00</w:t>
            </w:r>
          </w:p>
        </w:tc>
        <w:tc>
          <w:tcPr>
            <w:tcW w:w="7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ascii="Times New Roman" w:hAnsi="Times New Roman" w:eastAsia="宋体"/>
                <w:sz w:val="20"/>
                <w:szCs w:val="20"/>
              </w:rPr>
              <w:t>66.98</w:t>
            </w:r>
          </w:p>
        </w:tc>
        <w:tc>
          <w:tcPr>
            <w:tcW w:w="77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0.00</w:t>
            </w:r>
          </w:p>
        </w:tc>
        <w:tc>
          <w:tcPr>
            <w:tcW w:w="59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topLinePunct/>
              <w:spacing w:after="0" w:line="240" w:lineRule="auto"/>
              <w:jc w:val="center"/>
              <w:rPr>
                <w:rFonts w:ascii="Times New Roman" w:hAnsi="Times New Roman" w:eastAsia="宋体"/>
                <w:sz w:val="20"/>
                <w:szCs w:val="20"/>
              </w:rPr>
            </w:pPr>
            <w:r>
              <w:rPr>
                <w:rFonts w:hint="eastAsia" w:ascii="Times New Roman" w:hAnsi="Times New Roman" w:eastAsia="宋体"/>
                <w:sz w:val="20"/>
                <w:szCs w:val="20"/>
              </w:rPr>
              <w:t>0.0</w:t>
            </w:r>
            <w:r>
              <w:rPr>
                <w:rFonts w:ascii="Times New Roman" w:hAnsi="Times New Roman" w:eastAsia="宋体"/>
                <w:sz w:val="20"/>
                <w:szCs w:val="20"/>
              </w:rPr>
              <w:t>0</w:t>
            </w:r>
          </w:p>
        </w:tc>
      </w:tr>
      <w:tr>
        <w:tblPrEx>
          <w:tblLayout w:type="fixed"/>
          <w:tblCellMar>
            <w:top w:w="0" w:type="dxa"/>
            <w:left w:w="0" w:type="dxa"/>
            <w:bottom w:w="0" w:type="dxa"/>
            <w:right w:w="0" w:type="dxa"/>
          </w:tblCellMar>
        </w:tblPrEx>
        <w:trPr>
          <w:trHeight w:val="240" w:hRule="atLeast"/>
          <w:jc w:val="center"/>
        </w:trPr>
        <w:tc>
          <w:tcPr>
            <w:tcW w:w="9333" w:type="dxa"/>
            <w:gridSpan w:val="13"/>
            <w:shd w:val="clear" w:color="auto" w:fill="auto"/>
            <w:tcMar>
              <w:left w:w="108" w:type="dxa"/>
              <w:right w:w="108" w:type="dxa"/>
            </w:tcMar>
            <w:vAlign w:val="bottom"/>
          </w:tcPr>
          <w:p>
            <w:pPr>
              <w:topLinePunct/>
              <w:spacing w:after="0" w:line="240" w:lineRule="auto"/>
              <w:jc w:val="center"/>
              <w:rPr>
                <w:rFonts w:ascii="Times New Roman" w:hAnsi="Times New Roman" w:eastAsia="宋体"/>
                <w:sz w:val="20"/>
                <w:szCs w:val="20"/>
              </w:rPr>
            </w:pPr>
          </w:p>
        </w:tc>
      </w:tr>
      <w:tr>
        <w:tblPrEx>
          <w:tblLayout w:type="fixed"/>
          <w:tblCellMar>
            <w:top w:w="0" w:type="dxa"/>
            <w:left w:w="0" w:type="dxa"/>
            <w:bottom w:w="0" w:type="dxa"/>
            <w:right w:w="0" w:type="dxa"/>
          </w:tblCellMar>
        </w:tblPrEx>
        <w:trPr>
          <w:trHeight w:val="300" w:hRule="atLeast"/>
          <w:jc w:val="center"/>
        </w:trPr>
        <w:tc>
          <w:tcPr>
            <w:tcW w:w="1216" w:type="dxa"/>
            <w:gridSpan w:val="2"/>
            <w:shd w:val="clear" w:color="auto" w:fill="auto"/>
            <w:tcMar>
              <w:left w:w="108" w:type="dxa"/>
              <w:right w:w="108" w:type="dxa"/>
            </w:tcMar>
            <w:vAlign w:val="bottom"/>
          </w:tcPr>
          <w:p>
            <w:pPr>
              <w:topLinePunct/>
              <w:spacing w:after="0" w:line="240" w:lineRule="auto"/>
              <w:rPr>
                <w:rFonts w:ascii="Times New Roman" w:hAnsi="Times New Roman" w:eastAsia="宋体"/>
                <w:sz w:val="20"/>
                <w:szCs w:val="20"/>
              </w:rPr>
            </w:pPr>
            <w:r>
              <w:rPr>
                <w:rFonts w:ascii="Times New Roman" w:hAnsi="Times New Roman" w:eastAsia="宋体"/>
                <w:sz w:val="20"/>
                <w:szCs w:val="20"/>
              </w:rPr>
              <w:t>填报说明：</w:t>
            </w:r>
          </w:p>
        </w:tc>
        <w:tc>
          <w:tcPr>
            <w:tcW w:w="8117" w:type="dxa"/>
            <w:gridSpan w:val="11"/>
            <w:shd w:val="clear" w:color="auto" w:fill="auto"/>
            <w:tcMar>
              <w:left w:w="108" w:type="dxa"/>
              <w:right w:w="108" w:type="dxa"/>
            </w:tcMar>
            <w:vAlign w:val="center"/>
          </w:tcPr>
          <w:p>
            <w:pPr>
              <w:topLinePunct/>
              <w:spacing w:after="0" w:line="240" w:lineRule="auto"/>
              <w:rPr>
                <w:rFonts w:ascii="Times New Roman" w:hAnsi="Times New Roman" w:eastAsia="宋体"/>
                <w:sz w:val="20"/>
                <w:szCs w:val="20"/>
              </w:rPr>
            </w:pPr>
            <w:r>
              <w:rPr>
                <w:rFonts w:ascii="Times New Roman" w:hAnsi="Times New Roman" w:eastAsia="宋体"/>
                <w:sz w:val="20"/>
                <w:szCs w:val="20"/>
              </w:rPr>
              <w:t>1.资产总额＝流动资产＋固定资产＋对外投资／有价证券＋在建工程＋无形资产＋其他资产</w:t>
            </w:r>
          </w:p>
        </w:tc>
      </w:tr>
      <w:tr>
        <w:tblPrEx>
          <w:tblLayout w:type="fixed"/>
          <w:tblCellMar>
            <w:top w:w="0" w:type="dxa"/>
            <w:left w:w="0" w:type="dxa"/>
            <w:bottom w:w="0" w:type="dxa"/>
            <w:right w:w="0" w:type="dxa"/>
          </w:tblCellMar>
        </w:tblPrEx>
        <w:trPr>
          <w:trHeight w:val="285" w:hRule="atLeast"/>
          <w:jc w:val="center"/>
        </w:trPr>
        <w:tc>
          <w:tcPr>
            <w:tcW w:w="727" w:type="dxa"/>
            <w:shd w:val="clear" w:color="auto" w:fill="auto"/>
            <w:tcMar>
              <w:left w:w="108" w:type="dxa"/>
              <w:right w:w="108" w:type="dxa"/>
            </w:tcMar>
            <w:vAlign w:val="center"/>
          </w:tcPr>
          <w:p>
            <w:pPr>
              <w:topLinePunct/>
              <w:spacing w:after="0" w:line="240" w:lineRule="auto"/>
              <w:ind w:firstLine="640"/>
              <w:rPr>
                <w:rFonts w:ascii="Times New Roman" w:hAnsi="Times New Roman" w:eastAsia="宋体"/>
                <w:sz w:val="20"/>
                <w:szCs w:val="20"/>
              </w:rPr>
            </w:pPr>
          </w:p>
        </w:tc>
        <w:tc>
          <w:tcPr>
            <w:tcW w:w="489" w:type="dxa"/>
            <w:shd w:val="clear" w:color="auto" w:fill="auto"/>
            <w:tcMar>
              <w:left w:w="108" w:type="dxa"/>
              <w:right w:w="108" w:type="dxa"/>
            </w:tcMar>
            <w:vAlign w:val="center"/>
          </w:tcPr>
          <w:p>
            <w:pPr>
              <w:topLinePunct/>
              <w:spacing w:after="0" w:line="240" w:lineRule="auto"/>
              <w:ind w:firstLine="640"/>
              <w:rPr>
                <w:rFonts w:ascii="Times New Roman" w:hAnsi="Times New Roman" w:eastAsia="宋体"/>
                <w:sz w:val="20"/>
                <w:szCs w:val="20"/>
              </w:rPr>
            </w:pPr>
          </w:p>
        </w:tc>
        <w:tc>
          <w:tcPr>
            <w:tcW w:w="8117" w:type="dxa"/>
            <w:gridSpan w:val="11"/>
            <w:shd w:val="clear" w:color="auto" w:fill="auto"/>
            <w:tcMar>
              <w:left w:w="108" w:type="dxa"/>
              <w:right w:w="108" w:type="dxa"/>
            </w:tcMar>
            <w:vAlign w:val="center"/>
          </w:tcPr>
          <w:p>
            <w:pPr>
              <w:topLinePunct/>
              <w:spacing w:after="0" w:line="240" w:lineRule="auto"/>
              <w:rPr>
                <w:rFonts w:ascii="Times New Roman" w:hAnsi="Times New Roman" w:eastAsia="宋体"/>
                <w:sz w:val="20"/>
                <w:szCs w:val="20"/>
              </w:rPr>
            </w:pPr>
            <w:r>
              <w:rPr>
                <w:rFonts w:ascii="Times New Roman" w:hAnsi="Times New Roman" w:eastAsia="宋体"/>
                <w:sz w:val="20"/>
                <w:szCs w:val="20"/>
              </w:rPr>
              <w:t>2.固定资产＝房屋构筑物＋车辆＋单价200万元以上大型设备＋其他固定资产</w:t>
            </w:r>
          </w:p>
        </w:tc>
      </w:tr>
      <w:tr>
        <w:tblPrEx>
          <w:tblLayout w:type="fixed"/>
          <w:tblCellMar>
            <w:top w:w="0" w:type="dxa"/>
            <w:left w:w="0" w:type="dxa"/>
            <w:bottom w:w="0" w:type="dxa"/>
            <w:right w:w="0" w:type="dxa"/>
          </w:tblCellMar>
        </w:tblPrEx>
        <w:trPr>
          <w:trHeight w:val="285" w:hRule="atLeast"/>
          <w:jc w:val="center"/>
        </w:trPr>
        <w:tc>
          <w:tcPr>
            <w:tcW w:w="727" w:type="dxa"/>
            <w:shd w:val="clear" w:color="auto" w:fill="auto"/>
            <w:tcMar>
              <w:left w:w="108" w:type="dxa"/>
              <w:right w:w="108" w:type="dxa"/>
            </w:tcMar>
            <w:vAlign w:val="center"/>
          </w:tcPr>
          <w:p>
            <w:pPr>
              <w:topLinePunct/>
              <w:spacing w:after="0" w:line="240" w:lineRule="auto"/>
              <w:ind w:firstLine="640"/>
              <w:rPr>
                <w:rFonts w:ascii="Times New Roman" w:hAnsi="Times New Roman" w:eastAsia="宋体"/>
                <w:sz w:val="20"/>
                <w:szCs w:val="20"/>
              </w:rPr>
            </w:pPr>
          </w:p>
        </w:tc>
        <w:tc>
          <w:tcPr>
            <w:tcW w:w="489" w:type="dxa"/>
            <w:shd w:val="clear" w:color="auto" w:fill="auto"/>
            <w:tcMar>
              <w:left w:w="108" w:type="dxa"/>
              <w:right w:w="108" w:type="dxa"/>
            </w:tcMar>
            <w:vAlign w:val="center"/>
          </w:tcPr>
          <w:p>
            <w:pPr>
              <w:topLinePunct/>
              <w:spacing w:after="0" w:line="240" w:lineRule="auto"/>
              <w:ind w:firstLine="640"/>
              <w:rPr>
                <w:rFonts w:ascii="Times New Roman" w:hAnsi="Times New Roman" w:eastAsia="宋体"/>
                <w:sz w:val="20"/>
                <w:szCs w:val="20"/>
              </w:rPr>
            </w:pPr>
          </w:p>
        </w:tc>
        <w:tc>
          <w:tcPr>
            <w:tcW w:w="8117" w:type="dxa"/>
            <w:gridSpan w:val="11"/>
            <w:shd w:val="clear" w:color="auto" w:fill="auto"/>
            <w:tcMar>
              <w:left w:w="108" w:type="dxa"/>
              <w:right w:w="108" w:type="dxa"/>
            </w:tcMar>
            <w:vAlign w:val="center"/>
          </w:tcPr>
          <w:p>
            <w:pPr>
              <w:topLinePunct/>
              <w:spacing w:after="0" w:line="240" w:lineRule="auto"/>
              <w:rPr>
                <w:rFonts w:ascii="Times New Roman" w:hAnsi="Times New Roman" w:eastAsia="宋体"/>
                <w:sz w:val="20"/>
                <w:szCs w:val="20"/>
              </w:rPr>
            </w:pPr>
            <w:r>
              <w:rPr>
                <w:rFonts w:ascii="Times New Roman" w:hAnsi="Times New Roman" w:eastAsia="宋体"/>
                <w:sz w:val="20"/>
                <w:szCs w:val="20"/>
              </w:rPr>
              <w:t>3.填报金额为资产“账面原值”。</w:t>
            </w:r>
          </w:p>
        </w:tc>
      </w:tr>
    </w:tbl>
    <w:p>
      <w:pPr>
        <w:topLinePunct/>
        <w:spacing w:after="0" w:line="590" w:lineRule="atLeast"/>
        <w:ind w:firstLine="640"/>
        <w:rPr>
          <w:rFonts w:ascii="Times New Roman" w:hAnsi="Times New Roman" w:eastAsia="方正仿宋_GBK"/>
          <w:sz w:val="32"/>
          <w:szCs w:val="32"/>
        </w:rPr>
      </w:pPr>
      <w:r>
        <w:rPr>
          <w:rFonts w:ascii="Times New Roman" w:hAnsi="Times New Roman" w:eastAsia="方正仿宋_GBK"/>
          <w:sz w:val="32"/>
          <w:szCs w:val="32"/>
        </w:rPr>
        <w:t> </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三、政府采购支出情况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2021年度，部门政府采购支出总额0.00万元，其中：政府采购货物支出0.00万元；政府采购工程支出0.00万元；政府采购服务支出0.00万元。授予中小企业合同金额0.00万元，占政府采购支出总额的0.00%。</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四、部门绩效自评情况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本单位为二级单位，部门整体支出绩效由上级部门统一汇总公开，附表10－附表11无数据；项目支出绩效自评情况详见附表附表</w:t>
      </w:r>
      <w:r>
        <w:rPr>
          <w:rFonts w:ascii="Times New Roman" w:hAnsi="Times New Roman" w:eastAsia="Times New Roman"/>
          <w:sz w:val="32"/>
          <w:szCs w:val="32"/>
        </w:rPr>
        <w:t>12</w:t>
      </w:r>
      <w:r>
        <w:rPr>
          <w:rFonts w:ascii="Times New Roman" w:hAnsi="Times New Roman" w:eastAsia="方正仿宋_GBK"/>
          <w:sz w:val="32"/>
          <w:szCs w:val="32"/>
        </w:rPr>
        <w:t>。</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eastAsia="zh-CN"/>
        </w:rPr>
        <w:t>（一）</w:t>
      </w:r>
      <w:r>
        <w:rPr>
          <w:rFonts w:ascii="Times New Roman" w:hAnsi="Times New Roman" w:eastAsia="方正仿宋_GBK"/>
          <w:sz w:val="32"/>
          <w:szCs w:val="32"/>
        </w:rPr>
        <w:t>预算绩效管理工作开展情况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本部门严格按照预算绩效管理工作要求，日常绩效管理严格按照制度执行。部门收入和资金能有效利用在项目上，项目主要用在2021年城乡义务教育公用经费中央直达专项资金、义务教育困难学生生活费补助资金、2021年学生营养改善计划补助资金、2021年义务教育“三免一补”（文具费）市级补助资金、2021年数字化校园建设项目专项资金、2021年乡村学校从教20年以上优秀教师奖励专项资金等项目，资金使用情况较好。</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eastAsia="zh-CN"/>
        </w:rPr>
        <w:t>（二）</w:t>
      </w:r>
      <w:r>
        <w:rPr>
          <w:rFonts w:ascii="Times New Roman" w:hAnsi="Times New Roman" w:eastAsia="方正仿宋_GBK"/>
          <w:sz w:val="32"/>
          <w:szCs w:val="32"/>
        </w:rPr>
        <w:t>部门整体支出自评结果</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本部门职责完成较好，坚持促进教育公平发展和质量提升，逐渐补齐各类短板，确保学校日常运转。按照预算绩效管理总目标，积极推进项目运转，但仍然存在因资金保障不及时问题影响项目推进问题，下一步将积极协调资金开展项目。</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eastAsia="zh-CN"/>
        </w:rPr>
        <w:t>（三）</w:t>
      </w:r>
      <w:r>
        <w:rPr>
          <w:rFonts w:ascii="Times New Roman" w:hAnsi="Times New Roman" w:eastAsia="方正仿宋_GBK"/>
          <w:sz w:val="32"/>
          <w:szCs w:val="32"/>
        </w:rPr>
        <w:t>部门决算中项目支出自评结果</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ascii="Times New Roman" w:hAnsi="Times New Roman" w:eastAsia="方正仿宋_GBK"/>
          <w:sz w:val="32"/>
          <w:szCs w:val="32"/>
        </w:rPr>
        <w:t>教育资助类项目绩效情况：教育资助资金包括义务教育困难学生生活费补助资金、2021年学生营养改善计划补助资金、2021年义务教育“三免一补”（文具费）市级补助资金均已兑付到学生，保障困难学生平等地享有教育权，促进教育公平。</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ascii="Times New Roman" w:hAnsi="Times New Roman" w:eastAsia="方正仿宋_GBK"/>
          <w:sz w:val="32"/>
          <w:szCs w:val="32"/>
        </w:rPr>
        <w:t>城乡义务教育公用经费项目绩效情况：城乡义务教育学校生均公用经费拨款标准按照初中850.00元/生.年的标准执行,对寄宿制学校按照寄宿学生数每生每年再增加200.00元的公用经费补助，确保我区所有城乡义务教育学校公用经费补助资金能够有效保障学校正常运转，不因资金短缺而影响学校正常的教育教学秩序，确保教师培训所需资金得到有效保障。</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2021年数字化校园建设项目绩效情况：教育信息化数字化校园建设项目学校采购设备、设施。加强教师使用的技能，全面提升办学质量，办人民满意的教学。做好校园网的改建与扩建工作，购置一批校园网的设备，并根据教学需要及时更新信息化配套设备，完善校园内信息技术基础设施。学校的网站初具规模，每个教室配备多媒体电脑和投影机。不断完善管理制度，使制度管理常规化，从而能更好、更高地为教育教学工作服务。提高教职工的信息技术应用水平，收集整理学校各种教育教学数字化资料。以信息技术教育与课程整合的研究与实践为方向，加强信息技术教育与课程整合的研究与实践。</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2021年乡村学校从教20年以上优秀教师奖励专项资金项目绩效情况：项目用于奖励乡村从教20年以上的优秀教师，鼓励学校教师兢兢业业、诲人不倦教学精神，激励学校教师再接再厉投身于教育事业中创造更好的成绩。促进学校2021-2023教育教学发展，以此次优秀教师为榜样，倡导全校师生向其学习进步。</w:t>
      </w:r>
    </w:p>
    <w:p>
      <w:pPr>
        <w:topLinePunct/>
        <w:spacing w:after="0" w:line="590" w:lineRule="atLeast"/>
        <w:ind w:firstLine="640"/>
        <w:jc w:val="both"/>
        <w:rPr>
          <w:rFonts w:ascii="Times New Roman" w:hAnsi="Times New Roman" w:eastAsia="方正仿宋_GBK"/>
          <w:sz w:val="32"/>
          <w:szCs w:val="32"/>
        </w:rPr>
      </w:pPr>
      <w:r>
        <w:rPr>
          <w:rFonts w:hint="eastAsia" w:ascii="Times New Roman" w:hAnsi="Times New Roman" w:eastAsia="方正仿宋_GBK"/>
          <w:sz w:val="32"/>
          <w:szCs w:val="32"/>
          <w:lang w:eastAsia="zh-CN"/>
        </w:rPr>
        <w:t>（四）</w:t>
      </w:r>
      <w:r>
        <w:rPr>
          <w:rFonts w:ascii="Times New Roman" w:hAnsi="Times New Roman" w:eastAsia="方正仿宋_GBK"/>
          <w:sz w:val="32"/>
          <w:szCs w:val="32"/>
        </w:rPr>
        <w:t>部门项目支出绩效评价情况</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2021年玉溪市江川区九溪镇中学所有项目均已完成项目绩效评价，共有项目7个，全年预算数257.76万元，全年执行数105.59万元。</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五、其他重要事项情况说明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无其他重要事项情况说明。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六、相关口径说明</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（一）基本支出中人员经费包括工资福利支出和对个人和家庭的补助，公用经费包括商品和服务支出、资本性支出等人员经费以外的支出。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（二）机关运行经费指行政单位和参照公务员法管理的事业单位使用一般公共预算财政拨款安排的基本支出中的公用经费支出。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 </w:t>
      </w:r>
    </w:p>
    <w:p>
      <w:pPr>
        <w:topLinePunct/>
        <w:autoSpaceDE w:val="0"/>
        <w:autoSpaceDN w:val="0"/>
        <w:spacing w:after="0" w:line="590" w:lineRule="atLeast"/>
        <w:jc w:val="center"/>
        <w:rPr>
          <w:rFonts w:ascii="Times New Roman" w:hAnsi="Times New Roman" w:eastAsia="方正黑体_GBK"/>
          <w:sz w:val="32"/>
          <w:szCs w:val="32"/>
        </w:rPr>
      </w:pPr>
      <w:r>
        <w:rPr>
          <w:rFonts w:ascii="Times New Roman" w:hAnsi="Times New Roman" w:eastAsia="方正黑体_GBK"/>
          <w:sz w:val="32"/>
          <w:szCs w:val="32"/>
        </w:rPr>
        <w:t>第五部分  名词解释</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一、政府采购：是指各级国家机关、事业单位和团体组织，使用财政性资金采购依法制定的集中采购目录以内的或者采购限额标准以上的货物、工程和服务的行为。</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topLinePunct/>
        <w:spacing w:after="0" w:line="590" w:lineRule="atLeast"/>
        <w:ind w:firstLine="640"/>
        <w:jc w:val="both"/>
        <w:rPr>
          <w:rFonts w:ascii="Times New Roman" w:hAnsi="Times New Roman" w:eastAsia="方正仿宋_GBK"/>
          <w:sz w:val="32"/>
          <w:szCs w:val="32"/>
        </w:rPr>
      </w:pPr>
      <w:r>
        <w:rPr>
          <w:rFonts w:ascii="Times New Roman" w:hAnsi="Times New Roman" w:eastAsia="方正仿宋_GBK"/>
          <w:sz w:val="32"/>
          <w:szCs w:val="32"/>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ascii="Arial" w:hAnsi="Arial" w:eastAsia="Arial" w:cs="Arial"/>
          <w:b/>
          <w:sz w:val="36"/>
        </w:rPr>
      </w:pPr>
      <w:r>
        <w:rPr>
          <w:rFonts w:ascii="Arial" w:hAnsi="Arial" w:eastAsia="Arial" w:cs="Arial"/>
          <w:b/>
          <w:sz w:val="36"/>
        </w:rPr>
        <w:t>监督索引号53040300736002301111</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NTVhODFiOWU5ZTZiOGExOGMwYTA4ZjY4NTJhMmQifQ=="/>
  </w:docVars>
  <w:rsids>
    <w:rsidRoot w:val="003F1D91"/>
    <w:rsid w:val="003F1D91"/>
    <w:rsid w:val="00667E0E"/>
    <w:rsid w:val="00A373F0"/>
    <w:rsid w:val="00B157D3"/>
    <w:rsid w:val="01522DE2"/>
    <w:rsid w:val="02555DE0"/>
    <w:rsid w:val="04E87DBA"/>
    <w:rsid w:val="05C67DA1"/>
    <w:rsid w:val="0671265E"/>
    <w:rsid w:val="0D1A7E23"/>
    <w:rsid w:val="0EB67D00"/>
    <w:rsid w:val="10335BFB"/>
    <w:rsid w:val="14117786"/>
    <w:rsid w:val="17D27F60"/>
    <w:rsid w:val="186D339B"/>
    <w:rsid w:val="1ADF30F5"/>
    <w:rsid w:val="1C701AD9"/>
    <w:rsid w:val="1DFD14A7"/>
    <w:rsid w:val="1FAC19FD"/>
    <w:rsid w:val="23843AD1"/>
    <w:rsid w:val="23FE0D3B"/>
    <w:rsid w:val="253501AD"/>
    <w:rsid w:val="27147861"/>
    <w:rsid w:val="299F208C"/>
    <w:rsid w:val="29BD3AFB"/>
    <w:rsid w:val="2E3810B3"/>
    <w:rsid w:val="2F0177F6"/>
    <w:rsid w:val="30EC6D90"/>
    <w:rsid w:val="31653193"/>
    <w:rsid w:val="32B3490B"/>
    <w:rsid w:val="33B738DF"/>
    <w:rsid w:val="340A10C3"/>
    <w:rsid w:val="348C6C89"/>
    <w:rsid w:val="3539029E"/>
    <w:rsid w:val="358160C2"/>
    <w:rsid w:val="36056CF3"/>
    <w:rsid w:val="37906B9D"/>
    <w:rsid w:val="3AF42992"/>
    <w:rsid w:val="3BB55400"/>
    <w:rsid w:val="3CDD64AF"/>
    <w:rsid w:val="3F0A6721"/>
    <w:rsid w:val="40F0234E"/>
    <w:rsid w:val="44F94F39"/>
    <w:rsid w:val="45075699"/>
    <w:rsid w:val="47D71C0C"/>
    <w:rsid w:val="493F2521"/>
    <w:rsid w:val="4A033B04"/>
    <w:rsid w:val="50FA44CA"/>
    <w:rsid w:val="51022355"/>
    <w:rsid w:val="51BA1017"/>
    <w:rsid w:val="51E37417"/>
    <w:rsid w:val="5B0A0784"/>
    <w:rsid w:val="5B3A093D"/>
    <w:rsid w:val="5C3D0972"/>
    <w:rsid w:val="5C837859"/>
    <w:rsid w:val="5D690A6C"/>
    <w:rsid w:val="635F5276"/>
    <w:rsid w:val="65917690"/>
    <w:rsid w:val="6C521745"/>
    <w:rsid w:val="6D655CEE"/>
    <w:rsid w:val="6EE64FD9"/>
    <w:rsid w:val="6FC96F80"/>
    <w:rsid w:val="709E2DB1"/>
    <w:rsid w:val="729C6F3E"/>
    <w:rsid w:val="75CF16D8"/>
    <w:rsid w:val="7A28432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cs="Times New Roman" w:asciiTheme="minorEastAsia" w:hAnsiTheme="minorEastAsia" w:eastAsiaTheme="minorEastAsia"/>
      <w:sz w:val="24"/>
      <w:szCs w:val="24"/>
      <w:lang w:val="en-US" w:eastAsia="zh-CN" w:bidi="ar-SA"/>
    </w:rPr>
  </w:style>
  <w:style w:type="paragraph" w:styleId="3">
    <w:name w:val="heading 1"/>
    <w:basedOn w:val="1"/>
    <w:next w:val="1"/>
    <w:qFormat/>
    <w:uiPriority w:val="0"/>
    <w:pPr>
      <w:spacing w:beforeAutospacing="1" w:after="0" w:afterAutospacing="1"/>
      <w:outlineLvl w:val="0"/>
    </w:pPr>
    <w:rPr>
      <w:rFonts w:hint="eastAsia" w:ascii="宋体" w:hAnsi="宋体" w:eastAsia="宋体"/>
      <w:b/>
      <w:bCs/>
      <w:kern w:val="44"/>
      <w:sz w:val="48"/>
      <w:szCs w:val="48"/>
    </w:rPr>
  </w:style>
  <w:style w:type="paragraph" w:styleId="4">
    <w:name w:val="heading 2"/>
    <w:basedOn w:val="1"/>
    <w:next w:val="1"/>
    <w:unhideWhenUsed/>
    <w:qFormat/>
    <w:uiPriority w:val="0"/>
    <w:pPr>
      <w:spacing w:beforeAutospacing="1" w:after="0" w:afterAutospacing="1"/>
      <w:outlineLvl w:val="1"/>
    </w:pPr>
    <w:rPr>
      <w:rFonts w:hint="eastAsia" w:ascii="宋体" w:hAnsi="宋体" w:eastAsia="宋体"/>
      <w:b/>
      <w:bCs/>
      <w:sz w:val="36"/>
      <w:szCs w:val="36"/>
    </w:rPr>
  </w:style>
  <w:style w:type="paragraph" w:styleId="2">
    <w:name w:val="heading 3"/>
    <w:basedOn w:val="1"/>
    <w:next w:val="1"/>
    <w:unhideWhenUsed/>
    <w:qFormat/>
    <w:uiPriority w:val="0"/>
    <w:pPr>
      <w:spacing w:beforeAutospacing="1" w:after="0" w:afterAutospacing="1"/>
      <w:outlineLvl w:val="2"/>
    </w:pPr>
    <w:rPr>
      <w:rFonts w:hint="eastAsia" w:ascii="宋体" w:hAnsi="宋体" w:eastAsia="宋体"/>
      <w:b/>
      <w:bCs/>
      <w:sz w:val="27"/>
      <w:szCs w:val="27"/>
    </w:rPr>
  </w:style>
  <w:style w:type="paragraph" w:styleId="5">
    <w:name w:val="heading 4"/>
    <w:basedOn w:val="1"/>
    <w:next w:val="1"/>
    <w:unhideWhenUsed/>
    <w:qFormat/>
    <w:uiPriority w:val="0"/>
    <w:pPr>
      <w:spacing w:beforeAutospacing="1" w:after="0" w:afterAutospacing="1"/>
      <w:outlineLvl w:val="3"/>
    </w:pPr>
    <w:rPr>
      <w:rFonts w:hint="eastAsia" w:ascii="宋体" w:hAnsi="宋体" w:eastAsia="宋体"/>
      <w:b/>
      <w:bCs/>
    </w:rPr>
  </w:style>
  <w:style w:type="paragraph" w:styleId="6">
    <w:name w:val="heading 5"/>
    <w:basedOn w:val="1"/>
    <w:next w:val="1"/>
    <w:unhideWhenUsed/>
    <w:qFormat/>
    <w:uiPriority w:val="0"/>
    <w:pPr>
      <w:spacing w:beforeAutospacing="1" w:after="0" w:afterAutospacing="1"/>
      <w:outlineLvl w:val="4"/>
    </w:pPr>
    <w:rPr>
      <w:rFonts w:hint="eastAsia" w:ascii="宋体" w:hAnsi="宋体" w:eastAsia="宋体"/>
      <w:b/>
      <w:bCs/>
      <w:sz w:val="20"/>
      <w:szCs w:val="20"/>
    </w:rPr>
  </w:style>
  <w:style w:type="paragraph" w:styleId="7">
    <w:name w:val="heading 6"/>
    <w:basedOn w:val="1"/>
    <w:next w:val="1"/>
    <w:unhideWhenUsed/>
    <w:qFormat/>
    <w:uiPriority w:val="0"/>
    <w:pPr>
      <w:spacing w:beforeAutospacing="1" w:after="0" w:afterAutospacing="1"/>
      <w:outlineLvl w:val="5"/>
    </w:pPr>
    <w:rPr>
      <w:rFonts w:hint="eastAsia" w:ascii="宋体" w:hAnsi="宋体" w:eastAsia="宋体"/>
      <w:b/>
      <w:bCs/>
      <w:sz w:val="15"/>
      <w:szCs w:val="15"/>
    </w:rPr>
  </w:style>
  <w:style w:type="character" w:default="1" w:styleId="13">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8">
    <w:name w:val="Body Text"/>
    <w:basedOn w:val="1"/>
    <w:unhideWhenUsed/>
    <w:qFormat/>
    <w:uiPriority w:val="0"/>
  </w:style>
  <w:style w:type="paragraph" w:styleId="9">
    <w:name w:val="footer"/>
    <w:basedOn w:val="1"/>
    <w:link w:val="19"/>
    <w:qFormat/>
    <w:uiPriority w:val="0"/>
    <w:pPr>
      <w:tabs>
        <w:tab w:val="center" w:pos="4153"/>
        <w:tab w:val="right" w:pos="8306"/>
      </w:tabs>
      <w:snapToGrid w:val="0"/>
      <w:spacing w:line="240" w:lineRule="auto"/>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2">
    <w:name w:val="Normal (Web)"/>
    <w:basedOn w:val="1"/>
    <w:qFormat/>
    <w:uiPriority w:val="0"/>
    <w:pPr>
      <w:spacing w:beforeAutospacing="1" w:after="0" w:afterAutospacing="1"/>
    </w:pPr>
  </w:style>
  <w:style w:type="paragraph" w:customStyle="1" w:styleId="15">
    <w:name w:val="普通(网站) Char"/>
    <w:basedOn w:val="1"/>
    <w:qFormat/>
    <w:uiPriority w:val="0"/>
    <w:pPr>
      <w:spacing w:beforeAutospacing="1" w:after="0" w:afterAutospacing="1"/>
    </w:pPr>
    <w:rPr>
      <w:rFonts w:hint="eastAsia" w:ascii="宋体" w:hAnsi="宋体" w:eastAsia="宋体"/>
    </w:rPr>
  </w:style>
  <w:style w:type="paragraph" w:customStyle="1" w:styleId="16">
    <w:name w:val="p_MsoNormal"/>
    <w:basedOn w:val="1"/>
    <w:qFormat/>
    <w:uiPriority w:val="0"/>
    <w:rPr>
      <w:rFonts w:ascii="宋体" w:hAnsi="宋体" w:eastAsia="宋体" w:cs="宋体"/>
    </w:rPr>
  </w:style>
  <w:style w:type="table" w:customStyle="1" w:styleId="17">
    <w:name w:val="table_MsoNormalTable"/>
    <w:basedOn w:val="14"/>
    <w:qFormat/>
    <w:uiPriority w:val="0"/>
    <w:tblPr>
      <w:tblLayout w:type="fixed"/>
      <w:tblCellMar>
        <w:top w:w="0" w:type="dxa"/>
        <w:left w:w="108" w:type="dxa"/>
        <w:bottom w:w="0" w:type="dxa"/>
        <w:right w:w="108" w:type="dxa"/>
      </w:tblCellMar>
    </w:tblPr>
  </w:style>
  <w:style w:type="character" w:customStyle="1" w:styleId="18">
    <w:name w:val="页眉 Char"/>
    <w:basedOn w:val="13"/>
    <w:link w:val="10"/>
    <w:qFormat/>
    <w:uiPriority w:val="0"/>
    <w:rPr>
      <w:rFonts w:asciiTheme="minorEastAsia" w:hAnsiTheme="minorEastAsia" w:eastAsiaTheme="minorEastAsia"/>
      <w:sz w:val="18"/>
      <w:szCs w:val="18"/>
    </w:rPr>
  </w:style>
  <w:style w:type="character" w:customStyle="1" w:styleId="19">
    <w:name w:val="页脚 Char"/>
    <w:basedOn w:val="13"/>
    <w:link w:val="9"/>
    <w:uiPriority w:val="0"/>
    <w:rPr>
      <w:rFonts w:asciiTheme="minorEastAsia" w:hAnsiTheme="minorEastAsia" w:eastAsiaTheme="minorEastAsi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Pages>
  <Words>1318</Words>
  <Characters>7515</Characters>
  <Lines>62</Lines>
  <Paragraphs>17</Paragraphs>
  <TotalTime>0</TotalTime>
  <ScaleCrop>false</ScaleCrop>
  <LinksUpToDate>false</LinksUpToDate>
  <CharactersWithSpaces>8816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2022-09-17T10:06:00Z</dcterms:created>
  <dc:creator>86183</dc:creator>
  <cp:lastModifiedBy>李静</cp:lastModifiedBy>
  <dcterms:modified xsi:type="dcterms:W3CDTF">2022-11-14T08:27:06Z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1657227B28AA47958BBC79D93461D659</vt:lpwstr>
  </property>
  <property fmtid="{D5CDD505-2E9C-101B-9397-08002B2CF9AE}" pid="3" name="KSOProductBuildVer">
    <vt:lpwstr>2052-10.8.0.5950</vt:lpwstr>
  </property>
</Properties>
</file>