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监督索引号53042800236100801000</w:t>
      </w:r>
    </w:p>
    <w:p>
      <w:pPr>
        <w:spacing w:line="660" w:lineRule="exact"/>
        <w:jc w:val="center"/>
        <w:rPr>
          <w:rFonts w:hint="eastAsia" w:ascii="Times New Roman" w:hAnsi="Times New Roman" w:eastAsia="方正小标宋_GBK" w:cs="Times New Roman"/>
          <w:bCs/>
          <w:lang w:val="en-US" w:eastAsia="zh-CN"/>
        </w:rPr>
      </w:pPr>
      <w:r>
        <w:rPr>
          <w:rFonts w:ascii="Times New Roman" w:hAnsi="Times New Roman" w:eastAsia="方正小标宋_GBK" w:cs="Times New Roman"/>
          <w:bCs/>
          <w:sz w:val="44"/>
          <w:szCs w:val="44"/>
        </w:rPr>
        <w:t>元江哈尼族彝族傣族自治县曼来镇中心卫生院</w:t>
      </w:r>
      <w:r>
        <w:rPr>
          <w:rFonts w:ascii="Times New Roman" w:hAnsi="Times New Roman" w:cs="Times New Roman"/>
          <w:bCs/>
          <w:sz w:val="44"/>
          <w:szCs w:val="44"/>
        </w:rPr>
        <w:t>2021</w:t>
      </w:r>
      <w:r>
        <w:rPr>
          <w:rFonts w:ascii="Times New Roman" w:hAnsi="Times New Roman" w:eastAsia="方正小标宋_GBK" w:cs="Times New Roman"/>
          <w:bCs/>
          <w:sz w:val="44"/>
          <w:szCs w:val="44"/>
        </w:rPr>
        <w:t>年度部门决算</w:t>
      </w:r>
      <w:r>
        <w:rPr>
          <w:rFonts w:hint="eastAsia" w:ascii="Times New Roman" w:hAnsi="Times New Roman" w:eastAsia="方正小标宋_GBK" w:cs="Times New Roman"/>
          <w:bCs/>
          <w:sz w:val="44"/>
          <w:szCs w:val="44"/>
          <w:lang w:eastAsia="zh-CN"/>
        </w:rPr>
        <w:t>公开</w:t>
      </w:r>
    </w:p>
    <w:p>
      <w:pPr>
        <w:spacing w:line="590" w:lineRule="exact"/>
        <w:rPr>
          <w:rFonts w:ascii="Times New Roman" w:hAnsi="Times New Roman" w:eastAsia="方正黑体_GBK" w:cs="Times New Roman"/>
          <w:bCs/>
          <w:sz w:val="32"/>
          <w:szCs w:val="32"/>
        </w:rPr>
      </w:pPr>
    </w:p>
    <w:p>
      <w:pPr>
        <w:spacing w:line="590" w:lineRule="exact"/>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目  录</w:t>
      </w:r>
    </w:p>
    <w:p>
      <w:pPr>
        <w:spacing w:line="590" w:lineRule="exac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第一部分  元江哈尼族彝族傣族自治县曼来镇中心卫生院概况</w:t>
      </w:r>
    </w:p>
    <w:p>
      <w:pPr>
        <w:spacing w:line="590" w:lineRule="exact"/>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一、主要职能</w:t>
      </w:r>
    </w:p>
    <w:p>
      <w:pPr>
        <w:spacing w:line="590" w:lineRule="exact"/>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二、部门基本情况</w:t>
      </w:r>
    </w:p>
    <w:p>
      <w:pPr>
        <w:spacing w:line="590" w:lineRule="exact"/>
        <w:rPr>
          <w:rFonts w:ascii="方正楷体_GBK" w:hAnsi="方正楷体_GBK" w:eastAsia="方正楷体_GBK" w:cs="方正楷体_GBK"/>
          <w:bCs/>
          <w:sz w:val="32"/>
          <w:szCs w:val="32"/>
        </w:rPr>
      </w:pPr>
      <w:r>
        <w:rPr>
          <w:rFonts w:ascii="Times New Roman" w:hAnsi="Times New Roman" w:eastAsia="方正黑体_GBK" w:cs="Times New Roman"/>
          <w:bCs/>
          <w:sz w:val="32"/>
          <w:szCs w:val="32"/>
        </w:rPr>
        <w:t>第二部分  2021年度部门决算表</w:t>
      </w:r>
    </w:p>
    <w:p>
      <w:pPr>
        <w:topLinePunct/>
        <w:autoSpaceDE w:val="0"/>
        <w:autoSpaceDN w:val="0"/>
        <w:spacing w:line="590" w:lineRule="exact"/>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一、收入支出决算总表</w:t>
      </w:r>
    </w:p>
    <w:p>
      <w:pPr>
        <w:topLinePunct/>
        <w:autoSpaceDE w:val="0"/>
        <w:autoSpaceDN w:val="0"/>
        <w:spacing w:line="590" w:lineRule="exact"/>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二、收入决算表</w:t>
      </w:r>
    </w:p>
    <w:p>
      <w:pPr>
        <w:topLinePunct/>
        <w:autoSpaceDE w:val="0"/>
        <w:autoSpaceDN w:val="0"/>
        <w:spacing w:line="590" w:lineRule="exact"/>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三、支出决算表</w:t>
      </w:r>
    </w:p>
    <w:p>
      <w:pPr>
        <w:topLinePunct/>
        <w:autoSpaceDE w:val="0"/>
        <w:autoSpaceDN w:val="0"/>
        <w:spacing w:line="590" w:lineRule="exact"/>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四、财政拨款收入支出决算总表</w:t>
      </w:r>
    </w:p>
    <w:p>
      <w:pPr>
        <w:topLinePunct/>
        <w:autoSpaceDE w:val="0"/>
        <w:autoSpaceDN w:val="0"/>
        <w:spacing w:line="590" w:lineRule="exact"/>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五、一般公共预算财政拨款收入支出决算表</w:t>
      </w:r>
    </w:p>
    <w:p>
      <w:pPr>
        <w:topLinePunct/>
        <w:autoSpaceDE w:val="0"/>
        <w:autoSpaceDN w:val="0"/>
        <w:spacing w:line="590" w:lineRule="exact"/>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六、一般公共预算财政拨款基本支出决算表</w:t>
      </w:r>
    </w:p>
    <w:p>
      <w:pPr>
        <w:topLinePunct/>
        <w:autoSpaceDE w:val="0"/>
        <w:autoSpaceDN w:val="0"/>
        <w:spacing w:line="590" w:lineRule="exact"/>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七、政府性基金预算财政拨款收入支出决算表</w:t>
      </w:r>
    </w:p>
    <w:p>
      <w:pPr>
        <w:topLinePunct/>
        <w:autoSpaceDE w:val="0"/>
        <w:autoSpaceDN w:val="0"/>
        <w:spacing w:line="590" w:lineRule="exact"/>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八、国有资本经营预算财政拨款收入支出决算表</w:t>
      </w:r>
    </w:p>
    <w:p>
      <w:pPr>
        <w:topLinePunct/>
        <w:autoSpaceDE w:val="0"/>
        <w:autoSpaceDN w:val="0"/>
        <w:spacing w:line="590" w:lineRule="exact"/>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九、“三公”经费、行政参公单位机关运行经费情况表</w:t>
      </w:r>
    </w:p>
    <w:p>
      <w:pPr>
        <w:topLinePunct/>
        <w:autoSpaceDE w:val="0"/>
        <w:autoSpaceDN w:val="0"/>
        <w:spacing w:line="590" w:lineRule="exact"/>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第三部分  2021年度部门决算情况说明</w:t>
      </w:r>
    </w:p>
    <w:p>
      <w:pPr>
        <w:topLinePunct/>
        <w:autoSpaceDE w:val="0"/>
        <w:autoSpaceDN w:val="0"/>
        <w:spacing w:line="590" w:lineRule="exact"/>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一、收入决算情况说明</w:t>
      </w:r>
    </w:p>
    <w:p>
      <w:pPr>
        <w:topLinePunct/>
        <w:autoSpaceDE w:val="0"/>
        <w:autoSpaceDN w:val="0"/>
        <w:spacing w:line="590" w:lineRule="exact"/>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二、支出决算情况说明</w:t>
      </w:r>
    </w:p>
    <w:p>
      <w:pPr>
        <w:spacing w:line="590" w:lineRule="exact"/>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三、一般公共预算财政拨款支出决算情况说明</w:t>
      </w:r>
    </w:p>
    <w:p>
      <w:pPr>
        <w:spacing w:line="590" w:lineRule="exact"/>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四、一般公共预算财政拨款“三公”经费支出决算情况说明</w:t>
      </w:r>
    </w:p>
    <w:p>
      <w:pPr>
        <w:spacing w:line="590" w:lineRule="exac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第四部分 其他重要事项及相关口径情况说明</w:t>
      </w:r>
    </w:p>
    <w:p>
      <w:pPr>
        <w:topLinePunct/>
        <w:autoSpaceDE w:val="0"/>
        <w:autoSpaceDN w:val="0"/>
        <w:spacing w:line="590" w:lineRule="exact"/>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一、机关运行经费支出情况</w:t>
      </w:r>
    </w:p>
    <w:p>
      <w:pPr>
        <w:topLinePunct/>
        <w:autoSpaceDE w:val="0"/>
        <w:autoSpaceDN w:val="0"/>
        <w:spacing w:line="590" w:lineRule="exact"/>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二、国有资产占用情况</w:t>
      </w:r>
    </w:p>
    <w:p>
      <w:pPr>
        <w:topLinePunct/>
        <w:autoSpaceDE w:val="0"/>
        <w:autoSpaceDN w:val="0"/>
        <w:spacing w:line="590" w:lineRule="exact"/>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三、政府采购支出情况</w:t>
      </w:r>
    </w:p>
    <w:p>
      <w:pPr>
        <w:topLinePunct/>
        <w:autoSpaceDE w:val="0"/>
        <w:autoSpaceDN w:val="0"/>
        <w:spacing w:line="590" w:lineRule="exact"/>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四、部门绩效自评情况</w:t>
      </w:r>
    </w:p>
    <w:p>
      <w:pPr>
        <w:topLinePunct/>
        <w:autoSpaceDE w:val="0"/>
        <w:autoSpaceDN w:val="0"/>
        <w:spacing w:line="590" w:lineRule="exact"/>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（一）部门整体支出绩效自评情况</w:t>
      </w:r>
    </w:p>
    <w:p>
      <w:pPr>
        <w:topLinePunct/>
        <w:autoSpaceDE w:val="0"/>
        <w:autoSpaceDN w:val="0"/>
        <w:spacing w:line="590" w:lineRule="exact"/>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（二）部门整体支出绩效自评表</w:t>
      </w:r>
    </w:p>
    <w:p>
      <w:pPr>
        <w:topLinePunct/>
        <w:autoSpaceDE w:val="0"/>
        <w:autoSpaceDN w:val="0"/>
        <w:spacing w:line="590" w:lineRule="exact"/>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（三）项目支出绩效自评表</w:t>
      </w:r>
    </w:p>
    <w:p>
      <w:pPr>
        <w:topLinePunct/>
        <w:autoSpaceDE w:val="0"/>
        <w:autoSpaceDN w:val="0"/>
        <w:spacing w:line="590" w:lineRule="exact"/>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五、其他重要事项情况说明</w:t>
      </w:r>
    </w:p>
    <w:p>
      <w:pPr>
        <w:spacing w:line="590" w:lineRule="exac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第五部分 名词解释</w:t>
      </w:r>
    </w:p>
    <w:p>
      <w:pPr>
        <w:spacing w:line="590" w:lineRule="exact"/>
        <w:ind w:firstLine="361" w:firstLineChars="113"/>
        <w:rPr>
          <w:rFonts w:ascii="方正楷体_GBK" w:hAnsi="方正楷体_GBK" w:eastAsia="方正楷体_GBK" w:cs="方正楷体_GBK"/>
          <w:bCs/>
          <w:sz w:val="32"/>
          <w:szCs w:val="32"/>
        </w:rPr>
      </w:pPr>
    </w:p>
    <w:p>
      <w:pPr>
        <w:spacing w:line="590" w:lineRule="exact"/>
        <w:ind w:firstLine="361" w:firstLineChars="113"/>
        <w:rPr>
          <w:rFonts w:ascii="方正楷体_GBK" w:hAnsi="方正楷体_GBK" w:eastAsia="方正楷体_GBK" w:cs="方正楷体_GBK"/>
          <w:bCs/>
          <w:sz w:val="32"/>
          <w:szCs w:val="32"/>
        </w:rPr>
      </w:pPr>
    </w:p>
    <w:p>
      <w:pPr>
        <w:spacing w:line="590" w:lineRule="exact"/>
        <w:ind w:firstLine="361" w:firstLineChars="113"/>
        <w:rPr>
          <w:rFonts w:ascii="方正楷体_GBK" w:hAnsi="方正楷体_GBK" w:eastAsia="方正楷体_GBK" w:cs="方正楷体_GBK"/>
          <w:bCs/>
          <w:sz w:val="32"/>
          <w:szCs w:val="32"/>
        </w:rPr>
      </w:pPr>
    </w:p>
    <w:p>
      <w:pPr>
        <w:spacing w:line="590" w:lineRule="exact"/>
        <w:ind w:firstLine="361" w:firstLineChars="113"/>
        <w:rPr>
          <w:rFonts w:ascii="Times New Roman" w:hAnsi="Times New Roman" w:eastAsia="黑体" w:cs="Times New Roman"/>
          <w:bCs/>
          <w:sz w:val="32"/>
          <w:szCs w:val="32"/>
        </w:rPr>
      </w:pPr>
    </w:p>
    <w:p>
      <w:pPr>
        <w:spacing w:line="590" w:lineRule="exact"/>
        <w:ind w:firstLine="361" w:firstLineChars="113"/>
        <w:rPr>
          <w:rFonts w:ascii="Times New Roman" w:hAnsi="Times New Roman" w:eastAsia="黑体" w:cs="Times New Roman"/>
          <w:bCs/>
          <w:sz w:val="32"/>
          <w:szCs w:val="32"/>
        </w:rPr>
      </w:pPr>
    </w:p>
    <w:p>
      <w:pPr>
        <w:spacing w:line="590" w:lineRule="exact"/>
        <w:ind w:firstLine="361" w:firstLineChars="113"/>
        <w:rPr>
          <w:rFonts w:ascii="Times New Roman" w:hAnsi="Times New Roman" w:eastAsia="黑体" w:cs="Times New Roman"/>
          <w:bCs/>
          <w:sz w:val="32"/>
          <w:szCs w:val="32"/>
        </w:rPr>
      </w:pPr>
    </w:p>
    <w:p>
      <w:pPr>
        <w:spacing w:line="590" w:lineRule="exact"/>
        <w:ind w:firstLine="361" w:firstLineChars="113"/>
        <w:rPr>
          <w:rFonts w:ascii="Times New Roman" w:hAnsi="Times New Roman" w:eastAsia="黑体" w:cs="Times New Roman"/>
          <w:bCs/>
          <w:sz w:val="32"/>
          <w:szCs w:val="32"/>
        </w:rPr>
      </w:pPr>
    </w:p>
    <w:p>
      <w:pPr>
        <w:spacing w:line="590" w:lineRule="exact"/>
        <w:ind w:firstLine="361" w:firstLineChars="113"/>
        <w:rPr>
          <w:rFonts w:ascii="Times New Roman" w:hAnsi="Times New Roman" w:eastAsia="黑体" w:cs="Times New Roman"/>
          <w:bCs/>
          <w:sz w:val="32"/>
          <w:szCs w:val="32"/>
        </w:rPr>
      </w:pPr>
    </w:p>
    <w:p>
      <w:pPr>
        <w:spacing w:line="590" w:lineRule="exact"/>
        <w:ind w:firstLine="361" w:firstLineChars="113"/>
        <w:rPr>
          <w:rFonts w:ascii="Times New Roman" w:hAnsi="Times New Roman" w:eastAsia="黑体" w:cs="Times New Roman"/>
          <w:bCs/>
          <w:sz w:val="32"/>
          <w:szCs w:val="32"/>
        </w:rPr>
      </w:pPr>
    </w:p>
    <w:p>
      <w:pPr>
        <w:spacing w:line="590" w:lineRule="exact"/>
        <w:ind w:firstLine="361" w:firstLineChars="113"/>
        <w:rPr>
          <w:rFonts w:ascii="Times New Roman" w:hAnsi="Times New Roman" w:eastAsia="黑体" w:cs="Times New Roman"/>
          <w:bCs/>
          <w:sz w:val="32"/>
          <w:szCs w:val="32"/>
        </w:rPr>
      </w:pPr>
    </w:p>
    <w:p>
      <w:pPr>
        <w:spacing w:line="590" w:lineRule="exact"/>
        <w:ind w:firstLine="361" w:firstLineChars="113"/>
        <w:rPr>
          <w:rFonts w:ascii="Times New Roman" w:hAnsi="Times New Roman" w:eastAsia="黑体" w:cs="Times New Roman"/>
          <w:bCs/>
          <w:sz w:val="32"/>
          <w:szCs w:val="32"/>
        </w:rPr>
      </w:pPr>
    </w:p>
    <w:p>
      <w:pPr>
        <w:spacing w:line="590" w:lineRule="exact"/>
        <w:jc w:val="center"/>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第一部分  元江哈尼族彝族傣族自治县曼来镇中心卫生院概况</w:t>
      </w:r>
    </w:p>
    <w:p>
      <w:pPr>
        <w:topLinePunct/>
        <w:autoSpaceDE w:val="0"/>
        <w:autoSpaceDN w:val="0"/>
        <w:spacing w:line="590" w:lineRule="exact"/>
        <w:ind w:firstLine="640" w:firstLineChars="200"/>
        <w:rPr>
          <w:rFonts w:ascii="Times New Roman" w:hAnsi="Times New Roman" w:cs="Times New Roman"/>
          <w:bCs/>
        </w:rPr>
      </w:pPr>
      <w:r>
        <w:rPr>
          <w:rFonts w:ascii="Times New Roman" w:hAnsi="Times New Roman" w:cs="Times New Roman"/>
          <w:bCs/>
          <w:sz w:val="32"/>
          <w:szCs w:val="32"/>
        </w:rPr>
        <w:t> </w:t>
      </w:r>
      <w:r>
        <w:rPr>
          <w:rFonts w:ascii="Times New Roman" w:hAnsi="Times New Roman" w:eastAsia="方正黑体_GBK" w:cs="Times New Roman"/>
          <w:bCs/>
          <w:sz w:val="32"/>
          <w:szCs w:val="32"/>
        </w:rPr>
        <w:t>一、主要职能</w:t>
      </w:r>
    </w:p>
    <w:p>
      <w:pPr>
        <w:topLinePunct/>
        <w:spacing w:line="590" w:lineRule="exact"/>
        <w:ind w:firstLine="640" w:firstLineChars="200"/>
        <w:rPr>
          <w:rFonts w:ascii="Times New Roman" w:hAnsi="Times New Roman" w:cs="Times New Roman"/>
          <w:bCs/>
        </w:rPr>
      </w:pPr>
      <w:r>
        <w:rPr>
          <w:rFonts w:ascii="Times New Roman" w:hAnsi="Times New Roman" w:eastAsia="方正楷体_GBK" w:cs="Times New Roman"/>
          <w:bCs/>
          <w:sz w:val="32"/>
          <w:szCs w:val="32"/>
        </w:rPr>
        <w:t>（一）主要职能</w:t>
      </w:r>
    </w:p>
    <w:p>
      <w:pPr>
        <w:snapToGrid w:val="0"/>
        <w:spacing w:line="59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1.</w:t>
      </w:r>
      <w:r>
        <w:rPr>
          <w:rFonts w:ascii="Times New Roman" w:eastAsia="方正仿宋_GBK" w:cs="Times New Roman"/>
          <w:bCs/>
          <w:sz w:val="32"/>
          <w:szCs w:val="32"/>
        </w:rPr>
        <w:t>为人民身体健康提供医疗与预防保健服务。医疗常见病、多发病诊治；院前急救、巡回医疗；常见病、多发病护理，恢复期病人康复治疗与护理；预防保健、初级卫生保健规划实施、合作医疗组织与管理、卫生监督与卫生信息管理。</w:t>
      </w:r>
    </w:p>
    <w:p>
      <w:pPr>
        <w:pStyle w:val="2"/>
        <w:spacing w:beforeLines="0" w:line="590" w:lineRule="exact"/>
        <w:ind w:firstLine="640" w:firstLineChars="200"/>
        <w:rPr>
          <w:rFonts w:ascii="Times New Roman" w:eastAsia="方正仿宋_GBK"/>
          <w:bCs/>
          <w:sz w:val="32"/>
          <w:szCs w:val="32"/>
        </w:rPr>
      </w:pPr>
      <w:r>
        <w:rPr>
          <w:rFonts w:ascii="Times New Roman" w:eastAsia="方正仿宋_GBK"/>
          <w:bCs/>
          <w:sz w:val="32"/>
          <w:szCs w:val="32"/>
        </w:rPr>
        <w:t>2.严格执行医改政策，落实药品零差率销售政策；着力做好重大疾病预防控制工作，重点抓好免疫规划工作，做好基本医疗、先诊疗后付费、一站式服务工作。</w:t>
      </w:r>
    </w:p>
    <w:p>
      <w:pPr>
        <w:pStyle w:val="2"/>
        <w:spacing w:beforeLines="0" w:line="590" w:lineRule="exact"/>
        <w:ind w:firstLine="640" w:firstLineChars="200"/>
        <w:rPr>
          <w:rFonts w:ascii="Times New Roman" w:eastAsia="方正仿宋_GBK"/>
          <w:bCs/>
          <w:sz w:val="32"/>
          <w:szCs w:val="32"/>
        </w:rPr>
      </w:pPr>
      <w:r>
        <w:rPr>
          <w:rFonts w:ascii="Times New Roman" w:eastAsia="方正仿宋_GBK"/>
          <w:bCs/>
          <w:sz w:val="32"/>
          <w:szCs w:val="32"/>
        </w:rPr>
        <w:t>3.加强乡、村卫生一体化管理，提高服务质量。给乡医定指标、定任务、强化考核、加强继续教育等方式提高乡、村两级的服务能力，为群众提供便捷、连续、有效的基本医疗服务，做到小病不出村、乡，大病及时救治或转诊。</w:t>
      </w:r>
    </w:p>
    <w:p>
      <w:pPr>
        <w:pStyle w:val="6"/>
        <w:spacing w:before="0" w:beforeAutospacing="0" w:after="0" w:afterAutospacing="0" w:line="590" w:lineRule="exact"/>
        <w:ind w:firstLine="640" w:firstLineChars="200"/>
        <w:jc w:val="both"/>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4.加强医疗质量管理，保障医疗安全。以《执业医师法》、《医疗机构管理条例》、《医疗事故处理条例》为重点，加强对全乡医务人员的法</w:t>
      </w:r>
      <w:r>
        <w:rPr>
          <w:rFonts w:hint="eastAsia" w:ascii="Times New Roman" w:hAnsi="Times New Roman" w:eastAsia="方正仿宋_GBK" w:cs="Times New Roman"/>
          <w:bCs/>
          <w:sz w:val="32"/>
          <w:szCs w:val="32"/>
        </w:rPr>
        <w:t>治</w:t>
      </w:r>
      <w:r>
        <w:rPr>
          <w:rFonts w:ascii="Times New Roman" w:hAnsi="Times New Roman" w:eastAsia="方正仿宋_GBK" w:cs="Times New Roman"/>
          <w:bCs/>
          <w:sz w:val="32"/>
          <w:szCs w:val="32"/>
        </w:rPr>
        <w:t>教育，增强医疗安全责任意识。健全医疗、护理、功能检查、化验等各个科室、各个诊疗环节的质量管理制度，制定切实可行的质量目标，实现诊疗工作的规范化。</w:t>
      </w:r>
    </w:p>
    <w:p>
      <w:pPr>
        <w:spacing w:line="590" w:lineRule="exact"/>
        <w:ind w:firstLine="640" w:firstLineChars="200"/>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sz w:val="32"/>
          <w:szCs w:val="32"/>
        </w:rPr>
        <w:t>5.</w:t>
      </w:r>
      <w:r>
        <w:rPr>
          <w:rFonts w:ascii="Times New Roman" w:eastAsia="方正仿宋_GBK" w:cs="Times New Roman"/>
          <w:bCs/>
          <w:sz w:val="32"/>
          <w:szCs w:val="32"/>
        </w:rPr>
        <w:t>加强基本公共卫生服务管理，</w:t>
      </w:r>
      <w:r>
        <w:rPr>
          <w:rFonts w:ascii="Times New Roman" w:eastAsia="方正仿宋_GBK" w:cs="Times New Roman"/>
          <w:bCs/>
          <w:color w:val="000000"/>
          <w:sz w:val="32"/>
          <w:szCs w:val="32"/>
          <w:lang w:val="zh-CN"/>
        </w:rPr>
        <w:t>对城乡居民存在的主要健康问题，以儿童、孕产妇、老年人、慢性疾病患者为重点人群，面向全体居民免费提供基本公共卫生服务。具体包含：实施建立居民健康档案、健康教育、预防接种、儿童健康管理、孕产妇健康管理、老年人健康管理、高血压和</w:t>
      </w:r>
      <w:r>
        <w:rPr>
          <w:rFonts w:ascii="Times New Roman" w:hAnsi="Times New Roman" w:eastAsia="Times New Roman" w:cs="Times New Roman"/>
          <w:bCs/>
          <w:color w:val="000000"/>
          <w:sz w:val="32"/>
          <w:szCs w:val="32"/>
        </w:rPr>
        <w:t>П</w:t>
      </w:r>
      <w:r>
        <w:rPr>
          <w:rFonts w:ascii="Times New Roman" w:eastAsia="方正仿宋_GBK" w:cs="Times New Roman"/>
          <w:bCs/>
          <w:color w:val="000000"/>
          <w:sz w:val="32"/>
          <w:szCs w:val="32"/>
          <w:lang w:val="zh-CN"/>
        </w:rPr>
        <w:t>型糖尿病等慢性病患者健康管理、传染病和突发公共卫生事件报告和处理、卫生监督协管等</w:t>
      </w:r>
      <w:r>
        <w:rPr>
          <w:rFonts w:ascii="Times New Roman" w:hAnsi="Times New Roman" w:eastAsia="Times New Roman" w:cs="Times New Roman"/>
          <w:bCs/>
          <w:color w:val="000000"/>
          <w:sz w:val="32"/>
          <w:szCs w:val="32"/>
        </w:rPr>
        <w:t xml:space="preserve">12 </w:t>
      </w:r>
      <w:r>
        <w:rPr>
          <w:rFonts w:ascii="Times New Roman" w:eastAsia="方正仿宋_GBK" w:cs="Times New Roman"/>
          <w:bCs/>
          <w:color w:val="000000"/>
          <w:sz w:val="32"/>
          <w:szCs w:val="32"/>
          <w:lang w:val="zh-CN"/>
        </w:rPr>
        <w:t>类项目以及妇幼卫生、老年健康服务、医养结合、卫生应急、孕前检查等</w:t>
      </w:r>
      <w:r>
        <w:rPr>
          <w:rFonts w:ascii="Times New Roman" w:hAnsi="Times New Roman" w:eastAsia="方正仿宋_GBK" w:cs="Times New Roman"/>
          <w:bCs/>
          <w:color w:val="000000"/>
          <w:sz w:val="32"/>
          <w:szCs w:val="32"/>
          <w:lang w:val="zh-CN"/>
        </w:rPr>
        <w:t>19</w:t>
      </w:r>
      <w:r>
        <w:rPr>
          <w:rFonts w:ascii="Times New Roman" w:eastAsia="方正仿宋_GBK" w:cs="Times New Roman"/>
          <w:bCs/>
          <w:color w:val="000000"/>
          <w:sz w:val="32"/>
          <w:szCs w:val="32"/>
          <w:lang w:val="zh-CN"/>
        </w:rPr>
        <w:t>类项目。</w:t>
      </w:r>
    </w:p>
    <w:p>
      <w:pPr>
        <w:pStyle w:val="2"/>
        <w:spacing w:beforeLines="0" w:line="590" w:lineRule="exact"/>
        <w:ind w:firstLine="640" w:firstLineChars="200"/>
        <w:rPr>
          <w:rFonts w:ascii="Times New Roman" w:eastAsia="方正仿宋_GBK"/>
          <w:bCs/>
          <w:color w:val="000000"/>
          <w:sz w:val="32"/>
          <w:szCs w:val="32"/>
        </w:rPr>
      </w:pPr>
      <w:r>
        <w:rPr>
          <w:rFonts w:ascii="Times New Roman" w:eastAsia="方正仿宋_GBK"/>
          <w:bCs/>
          <w:color w:val="000000"/>
          <w:sz w:val="32"/>
          <w:szCs w:val="32"/>
        </w:rPr>
        <w:t>6.完成上级各部门、领导交办的其他任务。</w:t>
      </w:r>
    </w:p>
    <w:p>
      <w:pPr>
        <w:topLinePunct/>
        <w:spacing w:line="59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（二）</w:t>
      </w:r>
      <w:r>
        <w:rPr>
          <w:rFonts w:ascii="Times New Roman" w:hAnsi="Times New Roman" w:cs="Times New Roman"/>
          <w:bCs/>
          <w:sz w:val="32"/>
          <w:szCs w:val="32"/>
        </w:rPr>
        <w:t>2021</w:t>
      </w:r>
      <w:r>
        <w:rPr>
          <w:rFonts w:ascii="Times New Roman" w:hAnsi="Times New Roman" w:eastAsia="方正楷体_GBK" w:cs="Times New Roman"/>
          <w:bCs/>
          <w:sz w:val="32"/>
          <w:szCs w:val="32"/>
        </w:rPr>
        <w:t>年度重点工作任务介绍</w:t>
      </w:r>
    </w:p>
    <w:p>
      <w:pPr>
        <w:spacing w:line="59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color w:val="222222"/>
          <w:sz w:val="32"/>
          <w:szCs w:val="32"/>
        </w:rPr>
        <w:t>1.</w:t>
      </w:r>
      <w:r>
        <w:rPr>
          <w:rFonts w:ascii="Times New Roman" w:eastAsia="方正仿宋_GBK" w:cs="Times New Roman"/>
          <w:bCs/>
          <w:color w:val="222222"/>
          <w:sz w:val="32"/>
          <w:szCs w:val="32"/>
        </w:rPr>
        <w:t>认真完成国家基本公共卫生服务项目工作，做实、抓</w:t>
      </w:r>
      <w:r>
        <w:rPr>
          <w:rFonts w:ascii="Times New Roman" w:hAnsi="Times New Roman" w:eastAsia="方正仿宋_GBK" w:cs="Times New Roman"/>
          <w:bCs/>
          <w:color w:val="222222"/>
          <w:sz w:val="32"/>
          <w:szCs w:val="32"/>
        </w:rPr>
        <w:t>牢13项国家基本公共卫生服务项目工作：（1）居民健康档案管理率达到93.80%；（2）健康教育讲座84次，咨询13次，印刷资料16</w:t>
      </w:r>
      <w:r>
        <w:rPr>
          <w:rFonts w:ascii="Times New Roman" w:hAnsi="Times New Roman" w:eastAsia="Times New Roman" w:cs="Times New Roman"/>
          <w:bCs/>
          <w:sz w:val="32"/>
          <w:szCs w:val="32"/>
        </w:rPr>
        <w:t>,</w:t>
      </w:r>
      <w:r>
        <w:rPr>
          <w:rFonts w:ascii="Times New Roman" w:hAnsi="Times New Roman" w:eastAsia="方正仿宋_GBK" w:cs="Times New Roman"/>
          <w:bCs/>
          <w:color w:val="222222"/>
          <w:sz w:val="32"/>
          <w:szCs w:val="32"/>
        </w:rPr>
        <w:t>620份，播放音像164次；（3）预防接种服务</w:t>
      </w:r>
      <w:r>
        <w:rPr>
          <w:rFonts w:ascii="Times New Roman" w:hAnsi="Times New Roman" w:eastAsia="方正仿宋_GBK" w:cs="Times New Roman"/>
          <w:bCs/>
          <w:sz w:val="32"/>
          <w:szCs w:val="32"/>
        </w:rPr>
        <w:t>建证建卡率100.00%，常住适龄儿童Ⅰ类疫苗接种率均达97.00℅以上；（4）</w:t>
      </w:r>
      <w:r>
        <w:rPr>
          <w:rFonts w:ascii="Times New Roman" w:hAnsi="Times New Roman" w:eastAsia="方正仿宋_GBK" w:cs="Times New Roman"/>
          <w:bCs/>
          <w:color w:val="222222"/>
          <w:sz w:val="32"/>
          <w:szCs w:val="32"/>
        </w:rPr>
        <w:t>0-6岁儿童健康管理</w:t>
      </w:r>
      <w:r>
        <w:rPr>
          <w:rFonts w:ascii="Times New Roman" w:hAnsi="Times New Roman" w:eastAsia="方正仿宋_GBK" w:cs="Times New Roman"/>
          <w:bCs/>
          <w:sz w:val="32"/>
          <w:szCs w:val="32"/>
        </w:rPr>
        <w:t>新生儿访视率100.00%，0-6岁儿童系统管理率9</w:t>
      </w:r>
      <w:bookmarkStart w:id="0" w:name="_GoBack"/>
      <w:bookmarkEnd w:id="0"/>
      <w:r>
        <w:rPr>
          <w:rFonts w:ascii="Times New Roman" w:hAnsi="Times New Roman" w:eastAsia="方正仿宋_GBK" w:cs="Times New Roman"/>
          <w:bCs/>
          <w:sz w:val="32"/>
          <w:szCs w:val="32"/>
        </w:rPr>
        <w:t>7.00%</w:t>
      </w:r>
      <w:r>
        <w:rPr>
          <w:rFonts w:ascii="Times New Roman" w:hAnsi="Times New Roman" w:eastAsia="方正仿宋_GBK" w:cs="Times New Roman"/>
          <w:bCs/>
          <w:color w:val="222222"/>
          <w:sz w:val="32"/>
          <w:szCs w:val="32"/>
        </w:rPr>
        <w:t>；（5）孕产妇健康管理</w:t>
      </w:r>
      <w:r>
        <w:rPr>
          <w:rFonts w:ascii="Times New Roman" w:hAnsi="Times New Roman" w:eastAsia="方正仿宋_GBK" w:cs="Times New Roman"/>
          <w:bCs/>
          <w:sz w:val="32"/>
          <w:szCs w:val="32"/>
        </w:rPr>
        <w:t>孕产妇系统管理率91.70%，产后访视率100.00%；（6）</w:t>
      </w:r>
      <w:r>
        <w:rPr>
          <w:rFonts w:ascii="Times New Roman" w:hAnsi="Times New Roman" w:eastAsia="方正仿宋_GBK" w:cs="Times New Roman"/>
          <w:bCs/>
          <w:color w:val="222222"/>
          <w:sz w:val="32"/>
          <w:szCs w:val="32"/>
        </w:rPr>
        <w:t>老年人健康管理</w:t>
      </w:r>
      <w:r>
        <w:rPr>
          <w:rFonts w:ascii="Times New Roman" w:hAnsi="Times New Roman" w:eastAsia="方正仿宋_GBK" w:cs="Times New Roman"/>
          <w:bCs/>
          <w:sz w:val="32"/>
          <w:szCs w:val="32"/>
        </w:rPr>
        <w:t>电子档案建档率100.00%，健康管理率74.84%；（7）</w:t>
      </w:r>
      <w:r>
        <w:rPr>
          <w:rFonts w:ascii="Times New Roman" w:hAnsi="Times New Roman" w:eastAsia="方正仿宋_GBK" w:cs="Times New Roman"/>
          <w:bCs/>
          <w:color w:val="222222"/>
          <w:sz w:val="32"/>
          <w:szCs w:val="32"/>
        </w:rPr>
        <w:t>高血压患者</w:t>
      </w:r>
      <w:r>
        <w:rPr>
          <w:rFonts w:ascii="Times New Roman" w:hAnsi="Times New Roman" w:eastAsia="方正仿宋_GBK" w:cs="Times New Roman"/>
          <w:bCs/>
          <w:sz w:val="32"/>
          <w:szCs w:val="32"/>
        </w:rPr>
        <w:t>规范管理率97.00%，</w:t>
      </w:r>
      <w:r>
        <w:rPr>
          <w:rFonts w:ascii="Times New Roman" w:hAnsi="Times New Roman" w:eastAsia="方正仿宋_GBK" w:cs="Times New Roman"/>
          <w:bCs/>
          <w:color w:val="222222"/>
          <w:sz w:val="32"/>
          <w:szCs w:val="32"/>
        </w:rPr>
        <w:t>2型糖尿病患者健康</w:t>
      </w:r>
      <w:r>
        <w:rPr>
          <w:rFonts w:ascii="Times New Roman" w:hAnsi="Times New Roman" w:eastAsia="方正仿宋_GBK" w:cs="Times New Roman"/>
          <w:bCs/>
          <w:sz w:val="32"/>
          <w:szCs w:val="32"/>
        </w:rPr>
        <w:t>规范管理率98.00%</w:t>
      </w:r>
      <w:r>
        <w:rPr>
          <w:rFonts w:ascii="Times New Roman" w:hAnsi="Times New Roman" w:eastAsia="方正仿宋_GBK" w:cs="Times New Roman"/>
          <w:bCs/>
          <w:color w:val="222222"/>
          <w:sz w:val="32"/>
          <w:szCs w:val="32"/>
        </w:rPr>
        <w:t>；（8）重性精神病患者</w:t>
      </w:r>
      <w:r>
        <w:rPr>
          <w:rFonts w:ascii="Times New Roman" w:hAnsi="Times New Roman" w:eastAsia="方正仿宋_GBK" w:cs="Times New Roman"/>
          <w:bCs/>
          <w:sz w:val="32"/>
          <w:szCs w:val="32"/>
        </w:rPr>
        <w:t>规范管理率98.66%</w:t>
      </w:r>
      <w:r>
        <w:rPr>
          <w:rFonts w:ascii="Times New Roman" w:hAnsi="Times New Roman" w:eastAsia="方正仿宋_GBK" w:cs="Times New Roman"/>
          <w:bCs/>
          <w:color w:val="222222"/>
          <w:sz w:val="32"/>
          <w:szCs w:val="32"/>
        </w:rPr>
        <w:t>、（9）肺结核患者健康管理</w:t>
      </w:r>
      <w:r>
        <w:rPr>
          <w:rFonts w:ascii="Times New Roman" w:hAnsi="Times New Roman" w:eastAsia="方正仿宋_GBK" w:cs="Times New Roman"/>
          <w:bCs/>
          <w:sz w:val="32"/>
          <w:szCs w:val="32"/>
        </w:rPr>
        <w:t>服药率100.00%</w:t>
      </w:r>
      <w:r>
        <w:rPr>
          <w:rFonts w:ascii="Times New Roman" w:hAnsi="Times New Roman" w:eastAsia="方正仿宋_GBK" w:cs="Times New Roman"/>
          <w:bCs/>
          <w:color w:val="222222"/>
          <w:sz w:val="32"/>
          <w:szCs w:val="32"/>
        </w:rPr>
        <w:t>、（10）中医药健康管理服务，</w:t>
      </w:r>
      <w:r>
        <w:rPr>
          <w:rFonts w:ascii="Times New Roman" w:hAnsi="Times New Roman" w:eastAsia="方正仿宋_GBK" w:cs="Times New Roman"/>
          <w:bCs/>
          <w:sz w:val="32"/>
          <w:szCs w:val="32"/>
        </w:rPr>
        <w:t>老年人中医药健康管理率99.40%，0-36 个月儿童中医药健康管理服务率99.00%；（11）</w:t>
      </w:r>
      <w:r>
        <w:rPr>
          <w:rFonts w:ascii="Times New Roman" w:hAnsi="Times New Roman" w:eastAsia="方正仿宋_GBK" w:cs="Times New Roman"/>
          <w:bCs/>
          <w:color w:val="222222"/>
          <w:sz w:val="32"/>
          <w:szCs w:val="32"/>
        </w:rPr>
        <w:t>传染病及突发公共卫生事件报告和处理服务，</w:t>
      </w:r>
      <w:r>
        <w:rPr>
          <w:rFonts w:ascii="Times New Roman" w:hAnsi="Times New Roman" w:eastAsia="方正仿宋_GBK" w:cs="Times New Roman"/>
          <w:bCs/>
          <w:sz w:val="32"/>
          <w:szCs w:val="32"/>
        </w:rPr>
        <w:t>传染病疫情报告及时率100.00%，全年10起突发公共卫生事件发生</w:t>
      </w:r>
      <w:r>
        <w:rPr>
          <w:rFonts w:ascii="Times New Roman" w:hAnsi="Times New Roman" w:eastAsia="方正仿宋_GBK" w:cs="Times New Roman"/>
          <w:bCs/>
          <w:color w:val="222222"/>
          <w:sz w:val="32"/>
          <w:szCs w:val="32"/>
        </w:rPr>
        <w:t>；（12）卫生监督协管服务</w:t>
      </w:r>
      <w:r>
        <w:rPr>
          <w:rFonts w:ascii="Times New Roman" w:hAnsi="Times New Roman" w:eastAsia="方正仿宋_GBK" w:cs="Times New Roman"/>
          <w:bCs/>
          <w:sz w:val="32"/>
          <w:szCs w:val="32"/>
        </w:rPr>
        <w:t>实地巡查413次，开展卫生监督协管工作机构比例为100.00%，（13）人口和计划生育服务工作完成计划生育各项技术服务56例，国家免费孕前优生健康64对，完成上级任务数的98.46%；</w:t>
      </w:r>
      <w:r>
        <w:rPr>
          <w:rFonts w:ascii="Times New Roman" w:hAnsi="Times New Roman" w:eastAsia="方正仿宋_GBK" w:cs="Times New Roman"/>
          <w:bCs/>
          <w:color w:val="222222"/>
          <w:sz w:val="32"/>
          <w:szCs w:val="32"/>
        </w:rPr>
        <w:t>家庭医生签约服务16</w:t>
      </w:r>
      <w:r>
        <w:rPr>
          <w:rFonts w:ascii="Times New Roman" w:hAnsi="Times New Roman" w:eastAsia="Times New Roman" w:cs="Times New Roman"/>
          <w:bCs/>
          <w:sz w:val="32"/>
          <w:szCs w:val="32"/>
        </w:rPr>
        <w:t>,</w:t>
      </w:r>
      <w:r>
        <w:rPr>
          <w:rFonts w:ascii="Times New Roman" w:hAnsi="Times New Roman" w:eastAsia="方正仿宋_GBK" w:cs="Times New Roman"/>
          <w:bCs/>
          <w:color w:val="222222"/>
          <w:sz w:val="32"/>
          <w:szCs w:val="32"/>
        </w:rPr>
        <w:t>069人次</w:t>
      </w:r>
      <w:r>
        <w:rPr>
          <w:rFonts w:ascii="Times New Roman" w:hAnsi="Times New Roman" w:eastAsia="方正仿宋_GBK" w:cs="Times New Roman"/>
          <w:bCs/>
          <w:sz w:val="32"/>
          <w:szCs w:val="32"/>
        </w:rPr>
        <w:t>，把家庭医生签约工作融入日常基本医疗和基本公共卫生服务项目工作中。</w:t>
      </w:r>
    </w:p>
    <w:p>
      <w:pPr>
        <w:pStyle w:val="2"/>
        <w:spacing w:beforeLines="0" w:line="590" w:lineRule="exact"/>
        <w:ind w:firstLine="640" w:firstLineChars="200"/>
        <w:rPr>
          <w:rFonts w:ascii="Times New Roman" w:eastAsia="方正仿宋_GBK"/>
          <w:bCs/>
          <w:sz w:val="32"/>
          <w:szCs w:val="32"/>
        </w:rPr>
      </w:pPr>
      <w:r>
        <w:rPr>
          <w:rFonts w:ascii="Times New Roman" w:eastAsia="方正仿宋_GBK"/>
          <w:bCs/>
          <w:color w:val="222222"/>
          <w:sz w:val="32"/>
          <w:szCs w:val="32"/>
        </w:rPr>
        <w:t>2.</w:t>
      </w:r>
      <w:r>
        <w:rPr>
          <w:rFonts w:ascii="Times New Roman" w:eastAsia="方正仿宋_GBK"/>
          <w:bCs/>
          <w:sz w:val="32"/>
          <w:szCs w:val="32"/>
        </w:rPr>
        <w:t>根据国家、省、市、县疫情防控指挥部的要求，规范设置预检分诊台、室；规范入院人员测体温、扫“健康码”、“行程码”等查验管理；规范处置外来及返乡人员等发热病人就诊；按要求对中高风险地区返乡人员进行筛查、集中隔离、流行病学调查及上报。</w:t>
      </w:r>
    </w:p>
    <w:p>
      <w:pPr>
        <w:pStyle w:val="2"/>
        <w:spacing w:beforeLines="0" w:line="590" w:lineRule="exact"/>
        <w:ind w:firstLine="640" w:firstLineChars="200"/>
        <w:rPr>
          <w:rFonts w:ascii="Times New Roman" w:eastAsia="方正仿宋_GBK"/>
          <w:bCs/>
          <w:sz w:val="32"/>
          <w:szCs w:val="32"/>
        </w:rPr>
      </w:pPr>
      <w:r>
        <w:rPr>
          <w:rFonts w:ascii="Times New Roman" w:eastAsia="方正仿宋_GBK"/>
          <w:bCs/>
          <w:sz w:val="32"/>
          <w:szCs w:val="32"/>
        </w:rPr>
        <w:t>3.积极学习新医改政策，努力转变思想观念，强化卫生院公益性，落实药品、医用耗材零差率销售政策。</w:t>
      </w:r>
      <w:r>
        <w:rPr>
          <w:rStyle w:val="11"/>
          <w:rFonts w:ascii="Times New Roman" w:hAnsi="Times New Roman" w:eastAsia="方正仿宋_GBK"/>
          <w:bCs/>
          <w:color w:val="000000"/>
          <w:sz w:val="32"/>
          <w:szCs w:val="32"/>
        </w:rPr>
        <w:t>推进基层医疗卫生服务体系建设。一是完善首诊负责和慢性病管理制度，加大卫生院中医馆和急救能力建设，改进卫生院医保总额付费机制，提升乡镇卫生院的服务能力。二是积极争取预算支持重大传染病救治能力提升工程，完善院前急救体系。</w:t>
      </w:r>
    </w:p>
    <w:p>
      <w:pPr>
        <w:spacing w:line="59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4.严格执行疫情监测、报告制度。进一步抓好传染病防控工作，做好抗旱饮水消毒工作。切实抓好新冠肺炎疫情防控和结核病、艾滋病、狂犬病等重点传染病防治工作。做好传染病监测、预测、预警、流行病学调查、疫情报告与疫情处理，有效地降低传染病发病数，控制传染病暴发流行。</w:t>
      </w:r>
    </w:p>
    <w:p>
      <w:pPr>
        <w:pStyle w:val="6"/>
        <w:spacing w:before="0" w:beforeAutospacing="0" w:after="0" w:afterAutospacing="0" w:line="590" w:lineRule="exact"/>
        <w:ind w:firstLine="640" w:firstLineChars="200"/>
        <w:jc w:val="both"/>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5.坚持抓好基础免疫和冷链运转，认真做好国家扩大免疫规划工作，特别是要抓好麻疹等免疫规划相关疾病防控和监测工作。加强儿童预防接种信息化管理。完成疫苗接种任务。</w:t>
      </w:r>
      <w:r>
        <w:rPr>
          <w:rStyle w:val="11"/>
          <w:rFonts w:ascii="Times New Roman" w:hAnsi="Times New Roman" w:eastAsia="方正仿宋_GBK"/>
          <w:bCs/>
          <w:color w:val="000000"/>
          <w:sz w:val="32"/>
          <w:szCs w:val="32"/>
        </w:rPr>
        <w:t>抓好新冠肺炎疫情常态化防控工作，继续加大疫情早发现排查力度，加强预检分诊和发热门诊病例监测和重点场所疫情防控工作力度。</w:t>
      </w:r>
      <w:r>
        <w:rPr>
          <w:rFonts w:ascii="Times New Roman" w:eastAsia="方正仿宋_GBK" w:cs="Times New Roman"/>
          <w:bCs/>
          <w:color w:val="000000"/>
          <w:kern w:val="21"/>
          <w:sz w:val="32"/>
          <w:szCs w:val="32"/>
        </w:rPr>
        <w:t>做好疫苗接种统筹保障及广泛深入宣传引导。</w:t>
      </w:r>
    </w:p>
    <w:p>
      <w:pPr>
        <w:spacing w:line="59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6.</w:t>
      </w:r>
      <w:r>
        <w:rPr>
          <w:rFonts w:ascii="Times New Roman" w:eastAsia="方正仿宋_GBK" w:cs="Times New Roman"/>
          <w:bCs/>
          <w:sz w:val="32"/>
          <w:szCs w:val="32"/>
        </w:rPr>
        <w:t>落实卫生健康局对定点医疗机构的监管措施和文件，严格控制、进一步降低参保居民的医疗费用，特别是要大幅度控制建档立卡贫困户的医疗费用，严防因病致贫、因病返贫的现象。严肃查处医务人员违纪违规套取医保基金等不正之风行为。</w:t>
      </w:r>
    </w:p>
    <w:p>
      <w:pPr>
        <w:spacing w:line="59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kern w:val="21"/>
          <w:sz w:val="32"/>
          <w:szCs w:val="32"/>
        </w:rPr>
        <w:t>7.</w:t>
      </w:r>
      <w:r>
        <w:rPr>
          <w:rStyle w:val="11"/>
          <w:rFonts w:ascii="Times New Roman" w:eastAsia="方正仿宋_GBK"/>
          <w:bCs/>
          <w:color w:val="000000"/>
          <w:sz w:val="32"/>
          <w:szCs w:val="32"/>
        </w:rPr>
        <w:t>持续推进爱国卫生</w:t>
      </w:r>
      <w:r>
        <w:rPr>
          <w:rStyle w:val="11"/>
          <w:rFonts w:ascii="Times New Roman" w:hAnsi="Times New Roman" w:eastAsia="方正仿宋_GBK"/>
          <w:bCs/>
          <w:color w:val="000000"/>
          <w:sz w:val="32"/>
          <w:szCs w:val="32"/>
        </w:rPr>
        <w:t>“7</w:t>
      </w:r>
      <w:r>
        <w:rPr>
          <w:rStyle w:val="11"/>
          <w:rFonts w:ascii="Times New Roman" w:eastAsia="方正仿宋_GBK"/>
          <w:bCs/>
          <w:color w:val="000000"/>
          <w:sz w:val="32"/>
          <w:szCs w:val="32"/>
        </w:rPr>
        <w:t>个专项行动</w:t>
      </w:r>
      <w:r>
        <w:rPr>
          <w:rStyle w:val="11"/>
          <w:rFonts w:ascii="Times New Roman" w:hAnsi="Times New Roman" w:eastAsia="方正仿宋_GBK"/>
          <w:bCs/>
          <w:color w:val="000000"/>
          <w:sz w:val="32"/>
          <w:szCs w:val="32"/>
        </w:rPr>
        <w:t>”</w:t>
      </w:r>
      <w:r>
        <w:rPr>
          <w:rStyle w:val="11"/>
          <w:rFonts w:ascii="Times New Roman" w:eastAsia="方正仿宋_GBK"/>
          <w:bCs/>
          <w:color w:val="000000"/>
          <w:sz w:val="32"/>
          <w:szCs w:val="32"/>
        </w:rPr>
        <w:t>。</w:t>
      </w:r>
      <w:r>
        <w:rPr>
          <w:rFonts w:ascii="Times New Roman" w:eastAsia="方正仿宋_GBK" w:cs="Times New Roman"/>
          <w:bCs/>
          <w:color w:val="000000"/>
          <w:sz w:val="32"/>
          <w:szCs w:val="32"/>
        </w:rPr>
        <w:t>继续把爱国卫生</w:t>
      </w:r>
      <w:r>
        <w:rPr>
          <w:rFonts w:ascii="Times New Roman" w:hAnsi="Times New Roman" w:eastAsia="方正仿宋_GBK" w:cs="Times New Roman"/>
          <w:bCs/>
          <w:color w:val="000000"/>
          <w:sz w:val="32"/>
          <w:szCs w:val="32"/>
        </w:rPr>
        <w:t>“7</w:t>
      </w:r>
      <w:r>
        <w:rPr>
          <w:rFonts w:ascii="Times New Roman" w:eastAsia="方正仿宋_GBK" w:cs="Times New Roman"/>
          <w:bCs/>
          <w:color w:val="000000"/>
          <w:sz w:val="32"/>
          <w:szCs w:val="32"/>
        </w:rPr>
        <w:t>个专项行动</w:t>
      </w:r>
      <w:r>
        <w:rPr>
          <w:rFonts w:ascii="Times New Roman" w:hAnsi="Times New Roman" w:eastAsia="方正仿宋_GBK" w:cs="Times New Roman"/>
          <w:bCs/>
          <w:color w:val="000000"/>
          <w:sz w:val="32"/>
          <w:szCs w:val="32"/>
        </w:rPr>
        <w:t>”</w:t>
      </w:r>
      <w:r>
        <w:rPr>
          <w:rFonts w:ascii="Times New Roman" w:eastAsia="方正仿宋_GBK" w:cs="Times New Roman"/>
          <w:bCs/>
          <w:color w:val="000000"/>
          <w:sz w:val="32"/>
          <w:szCs w:val="32"/>
        </w:rPr>
        <w:t>工作作为当前的头等大事来抓，建立</w:t>
      </w:r>
      <w:r>
        <w:rPr>
          <w:rFonts w:ascii="Times New Roman" w:hAnsi="Times New Roman" w:eastAsia="方正仿宋_GBK" w:cs="Times New Roman"/>
          <w:bCs/>
          <w:color w:val="000000"/>
          <w:sz w:val="32"/>
          <w:szCs w:val="32"/>
        </w:rPr>
        <w:t>“</w:t>
      </w:r>
      <w:r>
        <w:rPr>
          <w:rFonts w:ascii="Times New Roman" w:eastAsia="方正仿宋_GBK" w:cs="Times New Roman"/>
          <w:bCs/>
          <w:color w:val="000000"/>
          <w:sz w:val="32"/>
          <w:szCs w:val="32"/>
        </w:rPr>
        <w:t>一把手</w:t>
      </w:r>
      <w:r>
        <w:rPr>
          <w:rFonts w:ascii="Times New Roman" w:hAnsi="Times New Roman" w:eastAsia="方正仿宋_GBK" w:cs="Times New Roman"/>
          <w:bCs/>
          <w:color w:val="000000"/>
          <w:sz w:val="32"/>
          <w:szCs w:val="32"/>
        </w:rPr>
        <w:t>”</w:t>
      </w:r>
      <w:r>
        <w:rPr>
          <w:rFonts w:ascii="Times New Roman" w:eastAsia="方正仿宋_GBK" w:cs="Times New Roman"/>
          <w:bCs/>
          <w:color w:val="000000"/>
          <w:sz w:val="32"/>
          <w:szCs w:val="32"/>
        </w:rPr>
        <w:t>负责制，实现从</w:t>
      </w:r>
      <w:r>
        <w:rPr>
          <w:rFonts w:ascii="Times New Roman" w:hAnsi="Times New Roman" w:eastAsia="方正仿宋_GBK" w:cs="Times New Roman"/>
          <w:bCs/>
          <w:color w:val="000000"/>
          <w:sz w:val="32"/>
          <w:szCs w:val="32"/>
        </w:rPr>
        <w:t>“</w:t>
      </w:r>
      <w:r>
        <w:rPr>
          <w:rFonts w:ascii="Times New Roman" w:eastAsia="方正仿宋_GBK" w:cs="Times New Roman"/>
          <w:bCs/>
          <w:color w:val="000000"/>
          <w:sz w:val="32"/>
          <w:szCs w:val="32"/>
        </w:rPr>
        <w:t>政府干群众看</w:t>
      </w:r>
      <w:r>
        <w:rPr>
          <w:rFonts w:ascii="Times New Roman" w:hAnsi="Times New Roman" w:eastAsia="方正仿宋_GBK" w:cs="Times New Roman"/>
          <w:bCs/>
          <w:color w:val="000000"/>
          <w:sz w:val="32"/>
          <w:szCs w:val="32"/>
        </w:rPr>
        <w:t>”</w:t>
      </w:r>
      <w:r>
        <w:rPr>
          <w:rFonts w:ascii="Times New Roman" w:eastAsia="方正仿宋_GBK" w:cs="Times New Roman"/>
          <w:bCs/>
          <w:color w:val="000000"/>
          <w:sz w:val="32"/>
          <w:szCs w:val="32"/>
        </w:rPr>
        <w:t>到</w:t>
      </w:r>
      <w:r>
        <w:rPr>
          <w:rFonts w:ascii="Times New Roman" w:hAnsi="Times New Roman" w:eastAsia="方正仿宋_GBK" w:cs="Times New Roman"/>
          <w:bCs/>
          <w:color w:val="000000"/>
          <w:sz w:val="32"/>
          <w:szCs w:val="32"/>
        </w:rPr>
        <w:t>“</w:t>
      </w:r>
      <w:r>
        <w:rPr>
          <w:rFonts w:ascii="Times New Roman" w:eastAsia="方正仿宋_GBK" w:cs="Times New Roman"/>
          <w:bCs/>
          <w:color w:val="000000"/>
          <w:sz w:val="32"/>
          <w:szCs w:val="32"/>
        </w:rPr>
        <w:t>政府带着群众干</w:t>
      </w:r>
      <w:r>
        <w:rPr>
          <w:rFonts w:ascii="Times New Roman" w:hAnsi="Times New Roman" w:eastAsia="方正仿宋_GBK" w:cs="Times New Roman"/>
          <w:bCs/>
          <w:color w:val="000000"/>
          <w:sz w:val="32"/>
          <w:szCs w:val="32"/>
        </w:rPr>
        <w:t>”</w:t>
      </w:r>
      <w:r>
        <w:rPr>
          <w:rFonts w:ascii="Times New Roman" w:eastAsia="方正仿宋_GBK" w:cs="Times New Roman"/>
          <w:bCs/>
          <w:color w:val="000000"/>
          <w:sz w:val="32"/>
          <w:szCs w:val="32"/>
        </w:rPr>
        <w:t>，再到</w:t>
      </w:r>
      <w:r>
        <w:rPr>
          <w:rFonts w:ascii="Times New Roman" w:hAnsi="Times New Roman" w:eastAsia="方正仿宋_GBK" w:cs="Times New Roman"/>
          <w:bCs/>
          <w:color w:val="000000"/>
          <w:sz w:val="32"/>
          <w:szCs w:val="32"/>
        </w:rPr>
        <w:t>“</w:t>
      </w:r>
      <w:r>
        <w:rPr>
          <w:rFonts w:ascii="Times New Roman" w:eastAsia="方正仿宋_GBK" w:cs="Times New Roman"/>
          <w:bCs/>
          <w:color w:val="000000"/>
          <w:sz w:val="32"/>
          <w:szCs w:val="32"/>
        </w:rPr>
        <w:t>政府指导群众干</w:t>
      </w:r>
      <w:r>
        <w:rPr>
          <w:rFonts w:ascii="Times New Roman" w:hAnsi="Times New Roman" w:eastAsia="方正仿宋_GBK" w:cs="Times New Roman"/>
          <w:bCs/>
          <w:color w:val="000000"/>
          <w:sz w:val="32"/>
          <w:szCs w:val="32"/>
        </w:rPr>
        <w:t>”</w:t>
      </w:r>
      <w:r>
        <w:rPr>
          <w:rFonts w:ascii="Times New Roman" w:eastAsia="方正仿宋_GBK" w:cs="Times New Roman"/>
          <w:bCs/>
          <w:color w:val="000000"/>
          <w:sz w:val="32"/>
          <w:szCs w:val="32"/>
        </w:rPr>
        <w:t>，坚决打赢爱国卫生</w:t>
      </w:r>
      <w:r>
        <w:rPr>
          <w:rFonts w:ascii="Times New Roman" w:hAnsi="Times New Roman" w:eastAsia="方正仿宋_GBK" w:cs="Times New Roman"/>
          <w:bCs/>
          <w:color w:val="000000"/>
          <w:sz w:val="32"/>
          <w:szCs w:val="32"/>
        </w:rPr>
        <w:t>“7</w:t>
      </w:r>
      <w:r>
        <w:rPr>
          <w:rFonts w:ascii="Times New Roman" w:eastAsia="方正仿宋_GBK" w:cs="Times New Roman"/>
          <w:bCs/>
          <w:color w:val="000000"/>
          <w:sz w:val="32"/>
          <w:szCs w:val="32"/>
        </w:rPr>
        <w:t>个专项行动</w:t>
      </w:r>
      <w:r>
        <w:rPr>
          <w:rFonts w:ascii="Times New Roman" w:hAnsi="Times New Roman" w:eastAsia="方正仿宋_GBK" w:cs="Times New Roman"/>
          <w:bCs/>
          <w:color w:val="000000"/>
          <w:sz w:val="32"/>
          <w:szCs w:val="32"/>
        </w:rPr>
        <w:t>”</w:t>
      </w:r>
      <w:r>
        <w:rPr>
          <w:rFonts w:ascii="Times New Roman" w:eastAsia="方正仿宋_GBK" w:cs="Times New Roman"/>
          <w:bCs/>
          <w:color w:val="000000"/>
          <w:sz w:val="32"/>
          <w:szCs w:val="32"/>
        </w:rPr>
        <w:t>攻坚战。</w:t>
      </w:r>
    </w:p>
    <w:p>
      <w:pPr>
        <w:spacing w:line="59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二、部门基本情况</w:t>
      </w:r>
    </w:p>
    <w:p>
      <w:pPr>
        <w:spacing w:line="59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（一）部门决算单位构成</w:t>
      </w:r>
    </w:p>
    <w:p>
      <w:pPr>
        <w:spacing w:line="59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纳入元江哈尼族彝族傣族自治县曼来镇中心卫生院</w:t>
      </w:r>
      <w:r>
        <w:rPr>
          <w:rFonts w:ascii="Times New Roman" w:hAnsi="Times New Roman" w:cs="Times New Roman"/>
          <w:bCs/>
          <w:sz w:val="32"/>
          <w:szCs w:val="32"/>
        </w:rPr>
        <w:t>2021</w:t>
      </w:r>
      <w:r>
        <w:rPr>
          <w:rFonts w:ascii="Times New Roman" w:hAnsi="Times New Roman" w:eastAsia="方正仿宋_GBK" w:cs="Times New Roman"/>
          <w:bCs/>
          <w:sz w:val="32"/>
          <w:szCs w:val="32"/>
        </w:rPr>
        <w:t>年度部门决算编报的单位共</w:t>
      </w:r>
      <w:r>
        <w:rPr>
          <w:rFonts w:ascii="Times New Roman" w:hAnsi="Times New Roman" w:cs="Times New Roman"/>
          <w:bCs/>
          <w:sz w:val="32"/>
          <w:szCs w:val="32"/>
        </w:rPr>
        <w:t>1</w:t>
      </w:r>
      <w:r>
        <w:rPr>
          <w:rFonts w:ascii="Times New Roman" w:hAnsi="Times New Roman" w:eastAsia="方正仿宋_GBK" w:cs="Times New Roman"/>
          <w:bCs/>
          <w:sz w:val="32"/>
          <w:szCs w:val="32"/>
        </w:rPr>
        <w:t>个。其中：行政单位</w:t>
      </w:r>
      <w:r>
        <w:rPr>
          <w:rFonts w:ascii="Times New Roman" w:hAnsi="Times New Roman" w:cs="Times New Roman"/>
          <w:bCs/>
          <w:sz w:val="32"/>
          <w:szCs w:val="32"/>
        </w:rPr>
        <w:t>0</w:t>
      </w:r>
      <w:r>
        <w:rPr>
          <w:rFonts w:ascii="Times New Roman" w:hAnsi="Times New Roman" w:eastAsia="方正仿宋_GBK" w:cs="Times New Roman"/>
          <w:bCs/>
          <w:sz w:val="32"/>
          <w:szCs w:val="32"/>
        </w:rPr>
        <w:t>个，参照公务员法管理的事业单位</w:t>
      </w:r>
      <w:r>
        <w:rPr>
          <w:rFonts w:ascii="Times New Roman" w:hAnsi="Times New Roman" w:cs="Times New Roman"/>
          <w:bCs/>
          <w:sz w:val="32"/>
          <w:szCs w:val="32"/>
        </w:rPr>
        <w:t>0</w:t>
      </w:r>
      <w:r>
        <w:rPr>
          <w:rFonts w:ascii="Times New Roman" w:hAnsi="Times New Roman" w:eastAsia="方正仿宋_GBK" w:cs="Times New Roman"/>
          <w:bCs/>
          <w:sz w:val="32"/>
          <w:szCs w:val="32"/>
        </w:rPr>
        <w:t>个，其他事业单位</w:t>
      </w:r>
      <w:r>
        <w:rPr>
          <w:rFonts w:ascii="Times New Roman" w:hAnsi="Times New Roman" w:cs="Times New Roman"/>
          <w:bCs/>
          <w:sz w:val="32"/>
          <w:szCs w:val="32"/>
        </w:rPr>
        <w:t>1</w:t>
      </w:r>
      <w:r>
        <w:rPr>
          <w:rFonts w:ascii="Times New Roman" w:hAnsi="Times New Roman" w:eastAsia="方正仿宋_GBK" w:cs="Times New Roman"/>
          <w:bCs/>
          <w:sz w:val="32"/>
          <w:szCs w:val="32"/>
        </w:rPr>
        <w:t>个。分别是：元江哈尼族彝族傣族自治县曼来镇中心卫生院。</w:t>
      </w:r>
    </w:p>
    <w:p>
      <w:pPr>
        <w:spacing w:line="59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（二）部门人员和车辆的编制及实有情况</w:t>
      </w:r>
    </w:p>
    <w:p>
      <w:pPr>
        <w:spacing w:line="59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元江哈尼族彝族傣族自治县曼来镇中心卫生院</w:t>
      </w:r>
      <w:r>
        <w:rPr>
          <w:rFonts w:ascii="Times New Roman" w:hAnsi="Times New Roman" w:cs="Times New Roman"/>
          <w:bCs/>
          <w:sz w:val="32"/>
          <w:szCs w:val="32"/>
        </w:rPr>
        <w:t>2021</w:t>
      </w:r>
      <w:r>
        <w:rPr>
          <w:rFonts w:ascii="Times New Roman" w:hAnsi="Times New Roman" w:eastAsia="方正仿宋_GBK" w:cs="Times New Roman"/>
          <w:bCs/>
          <w:sz w:val="32"/>
          <w:szCs w:val="32"/>
        </w:rPr>
        <w:t>年末实有人员编制</w:t>
      </w:r>
      <w:r>
        <w:rPr>
          <w:rFonts w:ascii="Times New Roman" w:hAnsi="Times New Roman" w:cs="Times New Roman"/>
          <w:bCs/>
          <w:sz w:val="32"/>
          <w:szCs w:val="32"/>
        </w:rPr>
        <w:t>37</w:t>
      </w:r>
      <w:r>
        <w:rPr>
          <w:rFonts w:ascii="Times New Roman" w:hAnsi="Times New Roman" w:eastAsia="方正仿宋_GBK" w:cs="Times New Roman"/>
          <w:bCs/>
          <w:sz w:val="32"/>
          <w:szCs w:val="32"/>
        </w:rPr>
        <w:t>人。其中：行政编制</w:t>
      </w:r>
      <w:r>
        <w:rPr>
          <w:rFonts w:ascii="Times New Roman" w:hAnsi="Times New Roman" w:cs="Times New Roman"/>
          <w:bCs/>
          <w:sz w:val="32"/>
          <w:szCs w:val="32"/>
        </w:rPr>
        <w:t>0</w:t>
      </w:r>
      <w:r>
        <w:rPr>
          <w:rFonts w:ascii="Times New Roman" w:hAnsi="Times New Roman" w:eastAsia="方正仿宋_GBK" w:cs="Times New Roman"/>
          <w:bCs/>
          <w:sz w:val="32"/>
          <w:szCs w:val="32"/>
        </w:rPr>
        <w:t>人（含行政工勤编制</w:t>
      </w:r>
      <w:r>
        <w:rPr>
          <w:rFonts w:ascii="Times New Roman" w:hAnsi="Times New Roman" w:cs="Times New Roman"/>
          <w:bCs/>
          <w:sz w:val="32"/>
          <w:szCs w:val="32"/>
        </w:rPr>
        <w:t>0</w:t>
      </w:r>
      <w:r>
        <w:rPr>
          <w:rFonts w:ascii="Times New Roman" w:hAnsi="Times New Roman" w:eastAsia="方正仿宋_GBK" w:cs="Times New Roman"/>
          <w:bCs/>
          <w:sz w:val="32"/>
          <w:szCs w:val="32"/>
        </w:rPr>
        <w:t>人），事业编制</w:t>
      </w:r>
      <w:r>
        <w:rPr>
          <w:rFonts w:ascii="Times New Roman" w:hAnsi="Times New Roman" w:cs="Times New Roman"/>
          <w:bCs/>
          <w:sz w:val="32"/>
          <w:szCs w:val="32"/>
        </w:rPr>
        <w:t>37</w:t>
      </w:r>
      <w:r>
        <w:rPr>
          <w:rFonts w:ascii="Times New Roman" w:hAnsi="Times New Roman" w:eastAsia="方正仿宋_GBK" w:cs="Times New Roman"/>
          <w:bCs/>
          <w:sz w:val="32"/>
          <w:szCs w:val="32"/>
        </w:rPr>
        <w:t>人（含参公管理事业编制</w:t>
      </w:r>
      <w:r>
        <w:rPr>
          <w:rFonts w:ascii="Times New Roman" w:hAnsi="Times New Roman" w:cs="Times New Roman"/>
          <w:bCs/>
          <w:sz w:val="32"/>
          <w:szCs w:val="32"/>
        </w:rPr>
        <w:t>0</w:t>
      </w:r>
      <w:r>
        <w:rPr>
          <w:rFonts w:ascii="Times New Roman" w:hAnsi="Times New Roman" w:eastAsia="方正仿宋_GBK" w:cs="Times New Roman"/>
          <w:bCs/>
          <w:sz w:val="32"/>
          <w:szCs w:val="32"/>
        </w:rPr>
        <w:t>人）；在职在编实有行政人员</w:t>
      </w:r>
      <w:r>
        <w:rPr>
          <w:rFonts w:ascii="Times New Roman" w:hAnsi="Times New Roman" w:cs="Times New Roman"/>
          <w:bCs/>
          <w:sz w:val="32"/>
          <w:szCs w:val="32"/>
        </w:rPr>
        <w:t>0</w:t>
      </w:r>
      <w:r>
        <w:rPr>
          <w:rFonts w:ascii="Times New Roman" w:hAnsi="Times New Roman" w:eastAsia="方正仿宋_GBK" w:cs="Times New Roman"/>
          <w:bCs/>
          <w:sz w:val="32"/>
          <w:szCs w:val="32"/>
        </w:rPr>
        <w:t>人（含行政工勤人员0人），事业人员</w:t>
      </w:r>
      <w:r>
        <w:rPr>
          <w:rFonts w:ascii="Times New Roman" w:hAnsi="Times New Roman" w:cs="Times New Roman"/>
          <w:bCs/>
          <w:sz w:val="32"/>
          <w:szCs w:val="32"/>
        </w:rPr>
        <w:t>33</w:t>
      </w:r>
      <w:r>
        <w:rPr>
          <w:rFonts w:ascii="Times New Roman" w:hAnsi="Times New Roman" w:eastAsia="方正仿宋_GBK" w:cs="Times New Roman"/>
          <w:bCs/>
          <w:sz w:val="32"/>
          <w:szCs w:val="32"/>
        </w:rPr>
        <w:t>人（含参公管理事业人员</w:t>
      </w:r>
      <w:r>
        <w:rPr>
          <w:rFonts w:ascii="Times New Roman" w:hAnsi="Times New Roman" w:cs="Times New Roman"/>
          <w:bCs/>
          <w:sz w:val="32"/>
          <w:szCs w:val="32"/>
        </w:rPr>
        <w:t>0</w:t>
      </w:r>
      <w:r>
        <w:rPr>
          <w:rFonts w:ascii="Times New Roman" w:hAnsi="Times New Roman" w:eastAsia="方正仿宋_GBK" w:cs="Times New Roman"/>
          <w:bCs/>
          <w:sz w:val="32"/>
          <w:szCs w:val="32"/>
        </w:rPr>
        <w:t>人）。</w:t>
      </w:r>
    </w:p>
    <w:p>
      <w:pPr>
        <w:spacing w:line="59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离退休人员</w:t>
      </w:r>
      <w:r>
        <w:rPr>
          <w:rFonts w:ascii="Times New Roman" w:hAnsi="Times New Roman" w:cs="Times New Roman"/>
          <w:bCs/>
          <w:sz w:val="32"/>
          <w:szCs w:val="32"/>
        </w:rPr>
        <w:t>13</w:t>
      </w:r>
      <w:r>
        <w:rPr>
          <w:rFonts w:ascii="Times New Roman" w:hAnsi="Times New Roman" w:eastAsia="方正仿宋_GBK" w:cs="Times New Roman"/>
          <w:bCs/>
          <w:sz w:val="32"/>
          <w:szCs w:val="32"/>
        </w:rPr>
        <w:t>人。其中：离休</w:t>
      </w:r>
      <w:r>
        <w:rPr>
          <w:rFonts w:ascii="Times New Roman" w:hAnsi="Times New Roman" w:cs="Times New Roman"/>
          <w:bCs/>
          <w:sz w:val="32"/>
          <w:szCs w:val="32"/>
        </w:rPr>
        <w:t>0</w:t>
      </w:r>
      <w:r>
        <w:rPr>
          <w:rFonts w:ascii="Times New Roman" w:hAnsi="Times New Roman" w:eastAsia="方正仿宋_GBK" w:cs="Times New Roman"/>
          <w:bCs/>
          <w:sz w:val="32"/>
          <w:szCs w:val="32"/>
        </w:rPr>
        <w:t>人，退休</w:t>
      </w:r>
      <w:r>
        <w:rPr>
          <w:rFonts w:ascii="Times New Roman" w:hAnsi="Times New Roman" w:cs="Times New Roman"/>
          <w:bCs/>
          <w:sz w:val="32"/>
          <w:szCs w:val="32"/>
        </w:rPr>
        <w:t>13</w:t>
      </w:r>
      <w:r>
        <w:rPr>
          <w:rFonts w:ascii="Times New Roman" w:hAnsi="Times New Roman" w:eastAsia="方正仿宋_GBK" w:cs="Times New Roman"/>
          <w:bCs/>
          <w:sz w:val="32"/>
          <w:szCs w:val="32"/>
        </w:rPr>
        <w:t>人。</w:t>
      </w:r>
    </w:p>
    <w:p>
      <w:pPr>
        <w:spacing w:line="59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实有车辆编制4辆，在编实有车辆</w:t>
      </w:r>
      <w:r>
        <w:rPr>
          <w:rFonts w:ascii="Times New Roman" w:hAnsi="Times New Roman" w:cs="Times New Roman"/>
          <w:bCs/>
          <w:sz w:val="32"/>
          <w:szCs w:val="32"/>
        </w:rPr>
        <w:t>3</w:t>
      </w:r>
      <w:r>
        <w:rPr>
          <w:rFonts w:ascii="Times New Roman" w:hAnsi="Times New Roman" w:eastAsia="方正仿宋_GBK" w:cs="Times New Roman"/>
          <w:bCs/>
          <w:sz w:val="32"/>
          <w:szCs w:val="32"/>
        </w:rPr>
        <w:t>辆。</w:t>
      </w:r>
    </w:p>
    <w:p>
      <w:pPr>
        <w:spacing w:line="590" w:lineRule="exact"/>
        <w:jc w:val="center"/>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 xml:space="preserve">第二部分  </w:t>
      </w:r>
      <w:r>
        <w:rPr>
          <w:rFonts w:ascii="Times New Roman" w:hAnsi="Times New Roman" w:eastAsia="方正黑体_GBK" w:cs="Times New Roman"/>
          <w:bCs/>
          <w:sz w:val="32"/>
          <w:szCs w:val="32"/>
        </w:rPr>
        <w:t>2021</w:t>
      </w:r>
      <w:r>
        <w:rPr>
          <w:rFonts w:hint="eastAsia" w:ascii="方正黑体_GBK" w:hAnsi="方正黑体_GBK" w:eastAsia="方正黑体_GBK" w:cs="方正黑体_GBK"/>
          <w:bCs/>
          <w:sz w:val="32"/>
          <w:szCs w:val="32"/>
        </w:rPr>
        <w:t>年度部门决算表</w:t>
      </w:r>
    </w:p>
    <w:p>
      <w:pPr>
        <w:spacing w:line="590" w:lineRule="exact"/>
        <w:jc w:val="center"/>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（详见附件1-9）</w:t>
      </w:r>
    </w:p>
    <w:p>
      <w:pPr>
        <w:spacing w:line="59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元江哈尼族彝族傣族自治县曼来镇中心卫生院无政府性基金预算财政拨款收入支出，因此，2021年度部门决算表附表7《政府性基金预算财政拨款收入支出决算表》无数据。</w:t>
      </w:r>
    </w:p>
    <w:p>
      <w:pPr>
        <w:spacing w:line="59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元江哈尼族彝族傣族自治县曼来镇中心卫生院无国有资本经营预算财政拨款收入支出，因此，2021年度决算表附表8《国有资本经营预算财政拨款收入支出决算表》无数据。</w:t>
      </w:r>
    </w:p>
    <w:p>
      <w:pPr>
        <w:spacing w:line="59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元江哈尼族彝族傣族自治县曼来镇中心卫生院无“三公”经费、行政参公单位机关运行经费，因此，2021年度决算表附表9《“三公”经费、行政参公单位机关运行经费情况表》无数据。</w:t>
      </w:r>
    </w:p>
    <w:p>
      <w:pPr>
        <w:spacing w:line="590" w:lineRule="exact"/>
        <w:jc w:val="center"/>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 xml:space="preserve">第三部分  </w:t>
      </w:r>
      <w:r>
        <w:rPr>
          <w:rFonts w:ascii="Times New Roman" w:hAnsi="Times New Roman" w:eastAsia="方正黑体_GBK" w:cs="Times New Roman"/>
          <w:bCs/>
          <w:sz w:val="32"/>
          <w:szCs w:val="32"/>
        </w:rPr>
        <w:t>2021</w:t>
      </w:r>
      <w:r>
        <w:rPr>
          <w:rFonts w:hint="eastAsia" w:ascii="方正黑体_GBK" w:hAnsi="方正黑体_GBK" w:eastAsia="方正黑体_GBK" w:cs="方正黑体_GBK"/>
          <w:bCs/>
          <w:sz w:val="32"/>
          <w:szCs w:val="32"/>
        </w:rPr>
        <w:t>年度部门决算情况说明</w:t>
      </w:r>
    </w:p>
    <w:p>
      <w:pPr>
        <w:spacing w:line="59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一、收入决算情况说明</w:t>
      </w:r>
    </w:p>
    <w:p>
      <w:pPr>
        <w:spacing w:line="59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元江哈尼族彝族傣族自治县曼来镇中心卫生院</w:t>
      </w:r>
      <w:r>
        <w:rPr>
          <w:rFonts w:ascii="Times New Roman" w:hAnsi="Times New Roman" w:cs="Times New Roman"/>
          <w:bCs/>
          <w:sz w:val="32"/>
          <w:szCs w:val="32"/>
        </w:rPr>
        <w:t>2021</w:t>
      </w:r>
      <w:r>
        <w:rPr>
          <w:rFonts w:ascii="Times New Roman" w:hAnsi="Times New Roman" w:eastAsia="方正仿宋_GBK" w:cs="Times New Roman"/>
          <w:bCs/>
          <w:sz w:val="32"/>
          <w:szCs w:val="32"/>
        </w:rPr>
        <w:t>年度收入合计</w:t>
      </w:r>
      <w:r>
        <w:rPr>
          <w:rFonts w:ascii="Times New Roman" w:hAnsi="Times New Roman" w:cs="Times New Roman"/>
          <w:bCs/>
          <w:sz w:val="32"/>
          <w:szCs w:val="32"/>
        </w:rPr>
        <w:t>748.09</w:t>
      </w:r>
      <w:r>
        <w:rPr>
          <w:rFonts w:ascii="Times New Roman" w:hAnsi="Times New Roman" w:eastAsia="方正仿宋_GBK" w:cs="Times New Roman"/>
          <w:bCs/>
          <w:sz w:val="32"/>
          <w:szCs w:val="32"/>
        </w:rPr>
        <w:t>万元。其中：财政拨款收入</w:t>
      </w:r>
      <w:r>
        <w:rPr>
          <w:rFonts w:ascii="Times New Roman" w:hAnsi="Times New Roman" w:cs="Times New Roman"/>
          <w:bCs/>
          <w:sz w:val="32"/>
          <w:szCs w:val="32"/>
        </w:rPr>
        <w:t>435.32</w:t>
      </w:r>
      <w:r>
        <w:rPr>
          <w:rFonts w:ascii="Times New Roman" w:hAnsi="Times New Roman" w:eastAsia="方正仿宋_GBK" w:cs="Times New Roman"/>
          <w:bCs/>
          <w:sz w:val="32"/>
          <w:szCs w:val="32"/>
        </w:rPr>
        <w:t>万元，占总收入的</w:t>
      </w:r>
      <w:r>
        <w:rPr>
          <w:rFonts w:ascii="Times New Roman" w:hAnsi="Times New Roman" w:cs="Times New Roman"/>
          <w:bCs/>
          <w:sz w:val="32"/>
          <w:szCs w:val="32"/>
        </w:rPr>
        <w:t>58.19%</w:t>
      </w:r>
      <w:r>
        <w:rPr>
          <w:rFonts w:ascii="Times New Roman" w:hAnsi="Times New Roman" w:eastAsia="方正仿宋_GBK" w:cs="Times New Roman"/>
          <w:bCs/>
          <w:sz w:val="32"/>
          <w:szCs w:val="32"/>
        </w:rPr>
        <w:t>；上级补助收入</w:t>
      </w:r>
      <w:r>
        <w:rPr>
          <w:rFonts w:ascii="Times New Roman" w:hAnsi="Times New Roman" w:cs="Times New Roman"/>
          <w:bCs/>
          <w:sz w:val="32"/>
          <w:szCs w:val="32"/>
        </w:rPr>
        <w:t>0.00</w:t>
      </w:r>
      <w:r>
        <w:rPr>
          <w:rFonts w:ascii="Times New Roman" w:hAnsi="Times New Roman" w:eastAsia="方正仿宋_GBK" w:cs="Times New Roman"/>
          <w:bCs/>
          <w:sz w:val="32"/>
          <w:szCs w:val="32"/>
        </w:rPr>
        <w:t>万元，占总收入的</w:t>
      </w:r>
      <w:r>
        <w:rPr>
          <w:rFonts w:ascii="Times New Roman" w:hAnsi="Times New Roman" w:cs="Times New Roman"/>
          <w:bCs/>
          <w:sz w:val="32"/>
          <w:szCs w:val="32"/>
        </w:rPr>
        <w:t>0.00%</w:t>
      </w:r>
      <w:r>
        <w:rPr>
          <w:rFonts w:ascii="Times New Roman" w:hAnsi="Times New Roman" w:eastAsia="方正仿宋_GBK" w:cs="Times New Roman"/>
          <w:bCs/>
          <w:sz w:val="32"/>
          <w:szCs w:val="32"/>
        </w:rPr>
        <w:t>；事业收入</w:t>
      </w:r>
      <w:r>
        <w:rPr>
          <w:rFonts w:ascii="Times New Roman" w:hAnsi="Times New Roman" w:cs="Times New Roman"/>
          <w:bCs/>
          <w:sz w:val="32"/>
          <w:szCs w:val="32"/>
        </w:rPr>
        <w:t>136.56</w:t>
      </w:r>
      <w:r>
        <w:rPr>
          <w:rFonts w:ascii="Times New Roman" w:hAnsi="Times New Roman" w:eastAsia="方正仿宋_GBK" w:cs="Times New Roman"/>
          <w:bCs/>
          <w:sz w:val="32"/>
          <w:szCs w:val="32"/>
        </w:rPr>
        <w:t>万元（含教育收费</w:t>
      </w:r>
      <w:r>
        <w:rPr>
          <w:rFonts w:ascii="Times New Roman" w:hAnsi="Times New Roman" w:cs="Times New Roman"/>
          <w:bCs/>
          <w:sz w:val="32"/>
          <w:szCs w:val="32"/>
        </w:rPr>
        <w:t>0.00</w:t>
      </w:r>
      <w:r>
        <w:rPr>
          <w:rFonts w:ascii="Times New Roman" w:hAnsi="Times New Roman" w:eastAsia="方正仿宋_GBK" w:cs="Times New Roman"/>
          <w:bCs/>
          <w:sz w:val="32"/>
          <w:szCs w:val="32"/>
        </w:rPr>
        <w:t>万元），占总收入的</w:t>
      </w:r>
      <w:r>
        <w:rPr>
          <w:rFonts w:ascii="Times New Roman" w:hAnsi="Times New Roman" w:cs="Times New Roman"/>
          <w:bCs/>
          <w:sz w:val="32"/>
          <w:szCs w:val="32"/>
        </w:rPr>
        <w:t>18.25%</w:t>
      </w:r>
      <w:r>
        <w:rPr>
          <w:rFonts w:ascii="Times New Roman" w:hAnsi="Times New Roman" w:eastAsia="方正仿宋_GBK" w:cs="Times New Roman"/>
          <w:bCs/>
          <w:sz w:val="32"/>
          <w:szCs w:val="32"/>
        </w:rPr>
        <w:t>；经营收入</w:t>
      </w:r>
      <w:r>
        <w:rPr>
          <w:rFonts w:ascii="Times New Roman" w:hAnsi="Times New Roman" w:cs="Times New Roman"/>
          <w:bCs/>
          <w:sz w:val="32"/>
          <w:szCs w:val="32"/>
        </w:rPr>
        <w:t>0.00</w:t>
      </w:r>
      <w:r>
        <w:rPr>
          <w:rFonts w:ascii="Times New Roman" w:hAnsi="Times New Roman" w:eastAsia="方正仿宋_GBK" w:cs="Times New Roman"/>
          <w:bCs/>
          <w:sz w:val="32"/>
          <w:szCs w:val="32"/>
        </w:rPr>
        <w:t>万元，占总收入的</w:t>
      </w:r>
      <w:r>
        <w:rPr>
          <w:rFonts w:ascii="Times New Roman" w:hAnsi="Times New Roman" w:cs="Times New Roman"/>
          <w:bCs/>
          <w:sz w:val="32"/>
          <w:szCs w:val="32"/>
        </w:rPr>
        <w:t>0.00%</w:t>
      </w:r>
      <w:r>
        <w:rPr>
          <w:rFonts w:ascii="Times New Roman" w:hAnsi="Times New Roman" w:eastAsia="方正仿宋_GBK" w:cs="Times New Roman"/>
          <w:bCs/>
          <w:sz w:val="32"/>
          <w:szCs w:val="32"/>
        </w:rPr>
        <w:t>；附属单位缴款收入</w:t>
      </w:r>
      <w:r>
        <w:rPr>
          <w:rFonts w:ascii="Times New Roman" w:hAnsi="Times New Roman" w:cs="Times New Roman"/>
          <w:bCs/>
          <w:sz w:val="32"/>
          <w:szCs w:val="32"/>
        </w:rPr>
        <w:t>0.00</w:t>
      </w:r>
      <w:r>
        <w:rPr>
          <w:rFonts w:ascii="Times New Roman" w:hAnsi="Times New Roman" w:eastAsia="方正仿宋_GBK" w:cs="Times New Roman"/>
          <w:bCs/>
          <w:sz w:val="32"/>
          <w:szCs w:val="32"/>
        </w:rPr>
        <w:t>万元，占总收入的</w:t>
      </w:r>
      <w:r>
        <w:rPr>
          <w:rFonts w:ascii="Times New Roman" w:hAnsi="Times New Roman" w:cs="Times New Roman"/>
          <w:bCs/>
          <w:sz w:val="32"/>
          <w:szCs w:val="32"/>
        </w:rPr>
        <w:t>0.00%</w:t>
      </w:r>
      <w:r>
        <w:rPr>
          <w:rFonts w:ascii="Times New Roman" w:hAnsi="Times New Roman" w:eastAsia="方正仿宋_GBK" w:cs="Times New Roman"/>
          <w:bCs/>
          <w:sz w:val="32"/>
          <w:szCs w:val="32"/>
        </w:rPr>
        <w:t>；其他收入</w:t>
      </w:r>
      <w:r>
        <w:rPr>
          <w:rFonts w:ascii="Times New Roman" w:hAnsi="Times New Roman" w:cs="Times New Roman"/>
          <w:bCs/>
          <w:sz w:val="32"/>
          <w:szCs w:val="32"/>
        </w:rPr>
        <w:t>176.21</w:t>
      </w:r>
      <w:r>
        <w:rPr>
          <w:rFonts w:ascii="Times New Roman" w:hAnsi="Times New Roman" w:eastAsia="方正仿宋_GBK" w:cs="Times New Roman"/>
          <w:bCs/>
          <w:sz w:val="32"/>
          <w:szCs w:val="32"/>
        </w:rPr>
        <w:t>万元，占总收入的</w:t>
      </w:r>
      <w:r>
        <w:rPr>
          <w:rFonts w:ascii="Times New Roman" w:hAnsi="Times New Roman" w:cs="Times New Roman"/>
          <w:bCs/>
          <w:sz w:val="32"/>
          <w:szCs w:val="32"/>
        </w:rPr>
        <w:t>23.56%</w:t>
      </w:r>
      <w:r>
        <w:rPr>
          <w:rFonts w:ascii="Times New Roman" w:hAnsi="Times New Roman" w:eastAsia="方正仿宋_GBK" w:cs="Times New Roman"/>
          <w:bCs/>
          <w:sz w:val="32"/>
          <w:szCs w:val="32"/>
        </w:rPr>
        <w:t>。与上年度收入合计711.94万元对比，增加36.15万元，增长5.08%，其中：与上年财政拨款收入499.88万元对比，减少64.56万元，下降12.92%，主要原因是人员流动导致人员经费减少；与上年事业收入合计154.01万元对比，减少17.45万元，下降11.33%，主要原因是受疫情影响门诊、住院人次减少，事业收入减少；与上年其他收入合计58.06万元对比，增加118.15万元，增长200.03%。主要原因是基本公共卫生服务项目补助资金增加，疫情防控补助资金增加。</w:t>
      </w:r>
    </w:p>
    <w:p>
      <w:pPr>
        <w:spacing w:line="59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二、支出决算情况说明</w:t>
      </w:r>
    </w:p>
    <w:p>
      <w:pPr>
        <w:spacing w:line="590" w:lineRule="exact"/>
        <w:ind w:firstLine="640" w:firstLineChars="200"/>
        <w:rPr>
          <w:rFonts w:ascii="Times New Roman" w:hAnsi="Times New Roman" w:eastAsia="方正仿宋_GBK" w:cs="Times New Roman"/>
          <w:bCs/>
          <w:color w:val="000000"/>
          <w:sz w:val="32"/>
          <w:szCs w:val="32"/>
          <w:shd w:val="clear" w:color="auto" w:fill="FFFFFF"/>
        </w:rPr>
      </w:pPr>
      <w:r>
        <w:rPr>
          <w:rFonts w:ascii="Times New Roman" w:hAnsi="Times New Roman" w:eastAsia="方正仿宋_GBK" w:cs="Times New Roman"/>
          <w:bCs/>
          <w:sz w:val="32"/>
          <w:szCs w:val="32"/>
        </w:rPr>
        <w:t>元江哈尼族彝族傣族自治县曼来镇中心卫生院</w:t>
      </w:r>
      <w:r>
        <w:rPr>
          <w:rFonts w:ascii="Times New Roman" w:hAnsi="Times New Roman" w:cs="Times New Roman"/>
          <w:bCs/>
          <w:sz w:val="32"/>
          <w:szCs w:val="32"/>
        </w:rPr>
        <w:t>2021</w:t>
      </w:r>
      <w:r>
        <w:rPr>
          <w:rFonts w:ascii="Times New Roman" w:hAnsi="Times New Roman" w:eastAsia="方正仿宋_GBK" w:cs="Times New Roman"/>
          <w:bCs/>
          <w:sz w:val="32"/>
          <w:szCs w:val="32"/>
        </w:rPr>
        <w:t>年度支出合计</w:t>
      </w:r>
      <w:r>
        <w:rPr>
          <w:rFonts w:ascii="Times New Roman" w:hAnsi="Times New Roman" w:cs="Times New Roman"/>
          <w:bCs/>
          <w:sz w:val="32"/>
          <w:szCs w:val="32"/>
        </w:rPr>
        <w:t>752.77</w:t>
      </w:r>
      <w:r>
        <w:rPr>
          <w:rFonts w:ascii="Times New Roman" w:hAnsi="Times New Roman" w:eastAsia="方正仿宋_GBK" w:cs="Times New Roman"/>
          <w:bCs/>
          <w:sz w:val="32"/>
          <w:szCs w:val="32"/>
        </w:rPr>
        <w:t>万元。其中：基本支出</w:t>
      </w:r>
      <w:r>
        <w:rPr>
          <w:rFonts w:ascii="Times New Roman" w:hAnsi="Times New Roman" w:cs="Times New Roman"/>
          <w:bCs/>
          <w:sz w:val="32"/>
          <w:szCs w:val="32"/>
        </w:rPr>
        <w:t>673.11</w:t>
      </w:r>
      <w:r>
        <w:rPr>
          <w:rFonts w:ascii="Times New Roman" w:hAnsi="Times New Roman" w:eastAsia="方正仿宋_GBK" w:cs="Times New Roman"/>
          <w:bCs/>
          <w:sz w:val="32"/>
          <w:szCs w:val="32"/>
        </w:rPr>
        <w:t>万元，占总支出的</w:t>
      </w:r>
      <w:r>
        <w:rPr>
          <w:rFonts w:ascii="Times New Roman" w:hAnsi="Times New Roman" w:cs="Times New Roman"/>
          <w:bCs/>
          <w:sz w:val="32"/>
          <w:szCs w:val="32"/>
        </w:rPr>
        <w:t>89.42%</w:t>
      </w:r>
      <w:r>
        <w:rPr>
          <w:rFonts w:ascii="Times New Roman" w:hAnsi="Times New Roman" w:eastAsia="方正仿宋_GBK" w:cs="Times New Roman"/>
          <w:bCs/>
          <w:sz w:val="32"/>
          <w:szCs w:val="32"/>
        </w:rPr>
        <w:t>；项目支出</w:t>
      </w:r>
      <w:r>
        <w:rPr>
          <w:rFonts w:ascii="Times New Roman" w:hAnsi="Times New Roman" w:cs="Times New Roman"/>
          <w:bCs/>
          <w:sz w:val="32"/>
          <w:szCs w:val="32"/>
        </w:rPr>
        <w:t>79.66</w:t>
      </w:r>
      <w:r>
        <w:rPr>
          <w:rFonts w:ascii="Times New Roman" w:hAnsi="Times New Roman" w:eastAsia="方正仿宋_GBK" w:cs="Times New Roman"/>
          <w:bCs/>
          <w:sz w:val="32"/>
          <w:szCs w:val="32"/>
        </w:rPr>
        <w:t>万元，占总支出的</w:t>
      </w:r>
      <w:r>
        <w:rPr>
          <w:rFonts w:ascii="Times New Roman" w:hAnsi="Times New Roman" w:cs="Times New Roman"/>
          <w:bCs/>
          <w:sz w:val="32"/>
          <w:szCs w:val="32"/>
        </w:rPr>
        <w:t>10.58%</w:t>
      </w:r>
      <w:r>
        <w:rPr>
          <w:rFonts w:ascii="Times New Roman" w:hAnsi="Times New Roman" w:eastAsia="方正仿宋_GBK" w:cs="Times New Roman"/>
          <w:bCs/>
          <w:sz w:val="32"/>
          <w:szCs w:val="32"/>
        </w:rPr>
        <w:t>；上缴上级支出、经营支出、对附属单位补助支出共</w:t>
      </w:r>
      <w:r>
        <w:rPr>
          <w:rFonts w:ascii="Times New Roman" w:hAnsi="Times New Roman" w:cs="Times New Roman"/>
          <w:bCs/>
          <w:sz w:val="32"/>
          <w:szCs w:val="32"/>
        </w:rPr>
        <w:t>0.00</w:t>
      </w:r>
      <w:r>
        <w:rPr>
          <w:rFonts w:ascii="Times New Roman" w:hAnsi="Times New Roman" w:eastAsia="方正仿宋_GBK" w:cs="Times New Roman"/>
          <w:bCs/>
          <w:sz w:val="32"/>
          <w:szCs w:val="32"/>
        </w:rPr>
        <w:t>万元，占总支出的</w:t>
      </w:r>
      <w:r>
        <w:rPr>
          <w:rFonts w:ascii="Times New Roman" w:hAnsi="Times New Roman" w:cs="Times New Roman"/>
          <w:bCs/>
          <w:sz w:val="32"/>
          <w:szCs w:val="32"/>
        </w:rPr>
        <w:t>0.00%</w:t>
      </w:r>
      <w:r>
        <w:rPr>
          <w:rFonts w:ascii="Times New Roman" w:hAnsi="Times New Roman" w:eastAsia="方正仿宋_GBK" w:cs="Times New Roman"/>
          <w:bCs/>
          <w:sz w:val="32"/>
          <w:szCs w:val="32"/>
        </w:rPr>
        <w:t>。与上年度支出合计710.04万元对比</w:t>
      </w:r>
      <w:r>
        <w:rPr>
          <w:rFonts w:ascii="Times New Roman" w:hAnsi="Times New Roman" w:eastAsia="方正仿宋_GBK" w:cs="Times New Roman"/>
          <w:bCs/>
          <w:color w:val="000000"/>
          <w:sz w:val="32"/>
          <w:szCs w:val="32"/>
          <w:shd w:val="clear" w:color="auto" w:fill="FFFFFF"/>
        </w:rPr>
        <w:t>，增加42.74万元，增长6.02%，其中：与上年基本支出656.57万元对比，增加16.54万元，增长2.52%，主要原因</w:t>
      </w:r>
      <w:r>
        <w:rPr>
          <w:rFonts w:ascii="Times New Roman" w:hAnsi="Times New Roman" w:eastAsia="方正仿宋_GBK" w:cs="Times New Roman"/>
          <w:bCs/>
          <w:sz w:val="32"/>
          <w:szCs w:val="32"/>
          <w:shd w:val="clear" w:color="auto" w:fill="FFFFFF"/>
        </w:rPr>
        <w:t>是公用经</w:t>
      </w:r>
      <w:r>
        <w:rPr>
          <w:rFonts w:ascii="Times New Roman" w:hAnsi="Times New Roman" w:eastAsia="方正仿宋_GBK" w:cs="Times New Roman"/>
          <w:bCs/>
          <w:color w:val="000000"/>
          <w:sz w:val="32"/>
          <w:szCs w:val="32"/>
          <w:shd w:val="clear" w:color="auto" w:fill="FFFFFF"/>
        </w:rPr>
        <w:t>费增加；与上年项目支出53.47万元对比，增加26.19万元，增长48.98%，主要原因是基本公共卫生服务项目补助资金增加，项目支出增加。</w:t>
      </w:r>
    </w:p>
    <w:p>
      <w:pPr>
        <w:spacing w:line="59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（一）基本支出情况</w:t>
      </w:r>
    </w:p>
    <w:p>
      <w:pPr>
        <w:spacing w:line="590" w:lineRule="exact"/>
        <w:ind w:firstLine="640" w:firstLineChars="200"/>
        <w:rPr>
          <w:rFonts w:ascii="Times New Roman" w:hAnsi="Times New Roman" w:cs="Times New Roman"/>
          <w:bCs/>
          <w:sz w:val="32"/>
          <w:szCs w:val="32"/>
        </w:rPr>
      </w:pPr>
      <w:r>
        <w:rPr>
          <w:rFonts w:ascii="Times New Roman" w:hAnsi="Times New Roman" w:cs="Times New Roman"/>
          <w:bCs/>
          <w:sz w:val="32"/>
          <w:szCs w:val="32"/>
        </w:rPr>
        <w:t>2021</w:t>
      </w:r>
      <w:r>
        <w:rPr>
          <w:rFonts w:ascii="Times New Roman" w:hAnsi="Times New Roman" w:eastAsia="方正仿宋_GBK" w:cs="Times New Roman"/>
          <w:bCs/>
          <w:sz w:val="32"/>
          <w:szCs w:val="32"/>
        </w:rPr>
        <w:t>年度用于保障元江哈尼族彝族傣族自治县曼来镇中心卫生机构正常运转的日常支出</w:t>
      </w:r>
      <w:r>
        <w:rPr>
          <w:rFonts w:ascii="Times New Roman" w:hAnsi="Times New Roman" w:cs="Times New Roman"/>
          <w:bCs/>
          <w:sz w:val="32"/>
          <w:szCs w:val="32"/>
        </w:rPr>
        <w:t>673.11</w:t>
      </w:r>
      <w:r>
        <w:rPr>
          <w:rFonts w:ascii="Times New Roman" w:hAnsi="Times New Roman" w:eastAsia="方正仿宋_GBK" w:cs="Times New Roman"/>
          <w:bCs/>
          <w:sz w:val="32"/>
          <w:szCs w:val="32"/>
        </w:rPr>
        <w:t>万元。与上年机构正常运转的日常支出656.57万元对比，增加16.54万元，增长2.52%，主要原因分析</w:t>
      </w:r>
      <w:r>
        <w:rPr>
          <w:rFonts w:ascii="Times New Roman" w:hAnsi="Times New Roman" w:eastAsia="方正仿宋_GBK" w:cs="Times New Roman"/>
          <w:bCs/>
          <w:sz w:val="32"/>
          <w:szCs w:val="32"/>
          <w:shd w:val="clear" w:color="auto" w:fill="FFFFFF"/>
        </w:rPr>
        <w:t>公用经费增加；</w:t>
      </w:r>
      <w:r>
        <w:rPr>
          <w:rFonts w:ascii="Times New Roman" w:hAnsi="Times New Roman" w:eastAsia="方正仿宋_GBK" w:cs="Times New Roman"/>
          <w:bCs/>
          <w:sz w:val="32"/>
          <w:szCs w:val="32"/>
        </w:rPr>
        <w:t>包括基本工资、津贴补贴等人员经费支出</w:t>
      </w:r>
      <w:r>
        <w:rPr>
          <w:rFonts w:ascii="Times New Roman" w:hAnsi="Times New Roman" w:cs="Times New Roman"/>
          <w:bCs/>
          <w:sz w:val="32"/>
          <w:szCs w:val="32"/>
        </w:rPr>
        <w:t>447.54</w:t>
      </w:r>
      <w:r>
        <w:rPr>
          <w:rFonts w:ascii="Times New Roman" w:hAnsi="Times New Roman" w:eastAsia="方正仿宋_GBK" w:cs="Times New Roman"/>
          <w:bCs/>
          <w:sz w:val="32"/>
          <w:szCs w:val="32"/>
        </w:rPr>
        <w:t>万元，占基本支出的</w:t>
      </w:r>
      <w:r>
        <w:rPr>
          <w:rFonts w:ascii="Times New Roman" w:hAnsi="Times New Roman" w:cs="Times New Roman"/>
          <w:bCs/>
          <w:sz w:val="32"/>
          <w:szCs w:val="32"/>
        </w:rPr>
        <w:t>66.49%</w:t>
      </w:r>
      <w:r>
        <w:rPr>
          <w:rFonts w:ascii="Times New Roman" w:hAnsi="Times New Roman" w:eastAsia="方正仿宋_GBK" w:cs="Times New Roman"/>
          <w:bCs/>
          <w:sz w:val="32"/>
          <w:szCs w:val="32"/>
        </w:rPr>
        <w:t>。办公费、印刷费、水电费、办公设备购置等公用经费</w:t>
      </w:r>
      <w:r>
        <w:rPr>
          <w:rFonts w:ascii="Times New Roman" w:hAnsi="Times New Roman" w:cs="Times New Roman"/>
          <w:bCs/>
          <w:sz w:val="32"/>
          <w:szCs w:val="32"/>
        </w:rPr>
        <w:t>225.57</w:t>
      </w:r>
      <w:r>
        <w:rPr>
          <w:rFonts w:ascii="Times New Roman" w:hAnsi="Times New Roman" w:eastAsia="方正仿宋_GBK" w:cs="Times New Roman"/>
          <w:bCs/>
          <w:sz w:val="32"/>
          <w:szCs w:val="32"/>
        </w:rPr>
        <w:t>万元，占基本支出的</w:t>
      </w:r>
      <w:r>
        <w:rPr>
          <w:rFonts w:ascii="Times New Roman" w:hAnsi="Times New Roman" w:cs="Times New Roman"/>
          <w:bCs/>
          <w:sz w:val="32"/>
          <w:szCs w:val="32"/>
        </w:rPr>
        <w:t>33.51%。</w:t>
      </w:r>
    </w:p>
    <w:p>
      <w:pPr>
        <w:spacing w:line="59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（二）项目支出情况</w:t>
      </w:r>
    </w:p>
    <w:p>
      <w:pPr>
        <w:spacing w:line="590" w:lineRule="exact"/>
        <w:ind w:firstLine="640" w:firstLineChars="200"/>
        <w:rPr>
          <w:rFonts w:ascii="Times New Roman" w:hAnsi="Times New Roman" w:eastAsia="方正仿宋_GBK" w:cs="Times New Roman"/>
          <w:bCs/>
          <w:sz w:val="32"/>
          <w:szCs w:val="32"/>
        </w:rPr>
      </w:pPr>
      <w:r>
        <w:rPr>
          <w:rFonts w:ascii="Times New Roman" w:hAnsi="Times New Roman" w:cs="Times New Roman"/>
          <w:bCs/>
          <w:sz w:val="32"/>
          <w:szCs w:val="32"/>
        </w:rPr>
        <w:t>2021</w:t>
      </w:r>
      <w:r>
        <w:rPr>
          <w:rFonts w:ascii="Times New Roman" w:hAnsi="Times New Roman" w:eastAsia="方正仿宋_GBK" w:cs="Times New Roman"/>
          <w:bCs/>
          <w:sz w:val="32"/>
          <w:szCs w:val="32"/>
        </w:rPr>
        <w:t>年度用于保障元江哈尼族彝族傣族自治县曼来镇中心卫生院为完成特定的行政工作任务或事业发展目标，用于专项业务工作的经费支出</w:t>
      </w:r>
      <w:r>
        <w:rPr>
          <w:rFonts w:ascii="Times New Roman" w:hAnsi="Times New Roman" w:cs="Times New Roman"/>
          <w:bCs/>
          <w:sz w:val="32"/>
          <w:szCs w:val="32"/>
        </w:rPr>
        <w:t>79.66</w:t>
      </w:r>
      <w:r>
        <w:rPr>
          <w:rFonts w:ascii="Times New Roman" w:hAnsi="Times New Roman" w:eastAsia="方正仿宋_GBK" w:cs="Times New Roman"/>
          <w:bCs/>
          <w:sz w:val="32"/>
          <w:szCs w:val="32"/>
        </w:rPr>
        <w:t>万元。</w:t>
      </w:r>
      <w:r>
        <w:rPr>
          <w:rFonts w:ascii="Times New Roman" w:hAnsi="Times New Roman" w:eastAsia="方正仿宋_GBK" w:cs="Times New Roman"/>
          <w:bCs/>
          <w:color w:val="000000"/>
          <w:sz w:val="32"/>
          <w:szCs w:val="32"/>
          <w:shd w:val="clear" w:color="auto" w:fill="FFFFFF"/>
        </w:rPr>
        <w:t>与上年项目支出53.47万元对比，增加26.19万元，增长48.98%，主要原因是基本公共卫生服务项目补助资金增加</w:t>
      </w:r>
      <w:r>
        <w:rPr>
          <w:rFonts w:ascii="Times New Roman" w:hAnsi="Times New Roman" w:eastAsia="方正仿宋_GBK" w:cs="Times New Roman"/>
          <w:bCs/>
          <w:sz w:val="32"/>
          <w:szCs w:val="32"/>
          <w:shd w:val="clear" w:color="auto" w:fill="FFFFFF"/>
        </w:rPr>
        <w:t>。</w:t>
      </w:r>
      <w:r>
        <w:rPr>
          <w:rFonts w:ascii="Times New Roman" w:hAnsi="Times New Roman" w:eastAsia="方正仿宋_GBK" w:cs="Times New Roman"/>
          <w:bCs/>
          <w:sz w:val="32"/>
          <w:szCs w:val="32"/>
        </w:rPr>
        <w:t>具体项目开支及开展工作情况基本公共卫生服务项目补助资金临时工工资、保险28.23万元，乡村医生劳务费39.81万元，印刷费、电费、办公费等11.62万元等。</w:t>
      </w:r>
    </w:p>
    <w:p>
      <w:pPr>
        <w:spacing w:line="59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三、一般公共预算财政拨款支出决算情况说明</w:t>
      </w:r>
    </w:p>
    <w:p>
      <w:pPr>
        <w:spacing w:line="59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（一）一般公共预算财政拨款支出决算总体情况</w:t>
      </w:r>
    </w:p>
    <w:p>
      <w:pPr>
        <w:spacing w:line="590" w:lineRule="exact"/>
        <w:ind w:firstLine="640" w:firstLineChars="200"/>
        <w:rPr>
          <w:rFonts w:ascii="Times New Roman" w:hAnsi="Times New Roman" w:eastAsia="方正仿宋_GBK" w:cs="Times New Roman"/>
          <w:bCs/>
          <w:color w:val="000000"/>
          <w:sz w:val="32"/>
          <w:szCs w:val="32"/>
          <w:shd w:val="clear" w:color="auto" w:fill="FFFFFF"/>
        </w:rPr>
      </w:pPr>
      <w:r>
        <w:rPr>
          <w:rFonts w:ascii="Times New Roman" w:hAnsi="Times New Roman" w:eastAsia="方正仿宋_GBK" w:cs="Times New Roman"/>
          <w:bCs/>
          <w:sz w:val="32"/>
          <w:szCs w:val="32"/>
        </w:rPr>
        <w:t>元江哈尼族彝族傣族自治县曼来镇中心卫生院</w:t>
      </w:r>
      <w:r>
        <w:rPr>
          <w:rFonts w:ascii="Times New Roman" w:hAnsi="Times New Roman" w:cs="Times New Roman"/>
          <w:bCs/>
          <w:sz w:val="32"/>
          <w:szCs w:val="32"/>
        </w:rPr>
        <w:t>2021</w:t>
      </w:r>
      <w:r>
        <w:rPr>
          <w:rFonts w:ascii="Times New Roman" w:hAnsi="Times New Roman" w:eastAsia="方正仿宋_GBK" w:cs="Times New Roman"/>
          <w:bCs/>
          <w:sz w:val="32"/>
          <w:szCs w:val="32"/>
        </w:rPr>
        <w:t>年度一般公共预算财政拨款支出</w:t>
      </w:r>
      <w:r>
        <w:rPr>
          <w:rFonts w:ascii="Times New Roman" w:hAnsi="Times New Roman" w:cs="Times New Roman"/>
          <w:bCs/>
          <w:sz w:val="32"/>
          <w:szCs w:val="32"/>
        </w:rPr>
        <w:t>435.32</w:t>
      </w:r>
      <w:r>
        <w:rPr>
          <w:rFonts w:ascii="Times New Roman" w:hAnsi="Times New Roman" w:eastAsia="方正仿宋_GBK" w:cs="Times New Roman"/>
          <w:bCs/>
          <w:sz w:val="32"/>
          <w:szCs w:val="32"/>
        </w:rPr>
        <w:t>万元，占本年支出合计的</w:t>
      </w:r>
      <w:r>
        <w:rPr>
          <w:rFonts w:ascii="Times New Roman" w:hAnsi="Times New Roman" w:cs="Times New Roman"/>
          <w:bCs/>
          <w:sz w:val="32"/>
          <w:szCs w:val="32"/>
        </w:rPr>
        <w:t>57.83%</w:t>
      </w:r>
      <w:r>
        <w:rPr>
          <w:rFonts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shd w:val="clear" w:color="auto" w:fill="FFFFFF"/>
        </w:rPr>
        <w:t>与上年</w:t>
      </w:r>
      <w:r>
        <w:rPr>
          <w:rFonts w:ascii="Times New Roman" w:hAnsi="Times New Roman" w:eastAsia="方正仿宋_GBK" w:cs="Times New Roman"/>
          <w:bCs/>
          <w:sz w:val="32"/>
          <w:szCs w:val="32"/>
        </w:rPr>
        <w:t>一般公共预算财政拨款</w:t>
      </w:r>
      <w:r>
        <w:rPr>
          <w:rFonts w:ascii="Times New Roman" w:hAnsi="Times New Roman" w:eastAsia="方正仿宋_GBK" w:cs="Times New Roman"/>
          <w:bCs/>
          <w:color w:val="000000"/>
          <w:sz w:val="32"/>
          <w:szCs w:val="32"/>
          <w:shd w:val="clear" w:color="auto" w:fill="FFFFFF"/>
        </w:rPr>
        <w:t>支出499.88万元对比，减少64.56万元，下降12.92%，主要原因分析基本公共卫生服务项目补助资金经费79.66万元,本年未纳入一般公共预算财政拨款支出核算。</w:t>
      </w:r>
    </w:p>
    <w:p>
      <w:pPr>
        <w:spacing w:line="590" w:lineRule="exact"/>
        <w:ind w:firstLine="640" w:firstLineChars="200"/>
        <w:rPr>
          <w:rFonts w:ascii="方正楷体_GBK" w:hAnsi="Times New Roman" w:eastAsia="方正楷体_GBK" w:cs="Times New Roman"/>
          <w:bCs/>
          <w:sz w:val="32"/>
          <w:szCs w:val="32"/>
        </w:rPr>
      </w:pPr>
      <w:r>
        <w:rPr>
          <w:rFonts w:hint="eastAsia" w:ascii="方正楷体_GBK" w:hAnsi="Times New Roman" w:eastAsia="方正楷体_GBK" w:cs="Times New Roman"/>
          <w:bCs/>
          <w:sz w:val="32"/>
          <w:szCs w:val="32"/>
        </w:rPr>
        <w:t>（二）一般公共预算财政拨款支出决算具体情况</w:t>
      </w:r>
    </w:p>
    <w:p>
      <w:pPr>
        <w:spacing w:line="590" w:lineRule="exact"/>
        <w:ind w:firstLine="640" w:firstLineChars="200"/>
        <w:rPr>
          <w:rFonts w:ascii="Times New Roman" w:hAnsi="Times New Roman" w:cs="Times New Roman"/>
          <w:bCs/>
          <w:sz w:val="32"/>
          <w:szCs w:val="32"/>
        </w:rPr>
      </w:pPr>
      <w:r>
        <w:rPr>
          <w:rFonts w:ascii="Times New Roman" w:hAnsi="Times New Roman" w:cs="Times New Roman"/>
          <w:bCs/>
          <w:sz w:val="32"/>
          <w:szCs w:val="32"/>
        </w:rPr>
        <w:t>1</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一般公共服务（类）支出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万元，占一般公共预算财政拨款总支出的</w:t>
      </w:r>
      <w:r>
        <w:rPr>
          <w:rFonts w:ascii="Times New Roman" w:hAnsi="Times New Roman" w:cs="Times New Roman"/>
          <w:bCs/>
          <w:sz w:val="32"/>
          <w:szCs w:val="32"/>
        </w:rPr>
        <w:t>0.00%。</w:t>
      </w:r>
    </w:p>
    <w:p>
      <w:pPr>
        <w:spacing w:line="590" w:lineRule="exact"/>
        <w:ind w:firstLine="640" w:firstLineChars="200"/>
        <w:rPr>
          <w:rFonts w:ascii="Times New Roman" w:hAnsi="Times New Roman" w:cs="Times New Roman"/>
          <w:bCs/>
          <w:sz w:val="32"/>
          <w:szCs w:val="32"/>
        </w:rPr>
      </w:pPr>
      <w:r>
        <w:rPr>
          <w:rFonts w:ascii="Times New Roman" w:hAnsi="Times New Roman" w:cs="Times New Roman"/>
          <w:bCs/>
          <w:sz w:val="32"/>
          <w:szCs w:val="32"/>
        </w:rPr>
        <w:t>2</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外交（类）支出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万元，占一般公共预算财政拨款总支出的</w:t>
      </w:r>
      <w:r>
        <w:rPr>
          <w:rFonts w:ascii="Times New Roman" w:hAnsi="Times New Roman" w:cs="Times New Roman"/>
          <w:bCs/>
          <w:sz w:val="32"/>
          <w:szCs w:val="32"/>
        </w:rPr>
        <w:t>0.00%。</w:t>
      </w:r>
    </w:p>
    <w:p>
      <w:pPr>
        <w:spacing w:line="590" w:lineRule="exact"/>
        <w:ind w:firstLine="640" w:firstLineChars="200"/>
        <w:rPr>
          <w:rFonts w:ascii="Times New Roman" w:hAnsi="Times New Roman" w:eastAsia="方正仿宋_GBK" w:cs="Times New Roman"/>
          <w:bCs/>
          <w:sz w:val="32"/>
          <w:szCs w:val="32"/>
        </w:rPr>
      </w:pPr>
      <w:r>
        <w:rPr>
          <w:rFonts w:ascii="Times New Roman" w:hAnsi="Times New Roman" w:cs="Times New Roman"/>
          <w:bCs/>
          <w:sz w:val="32"/>
          <w:szCs w:val="32"/>
        </w:rPr>
        <w:t>3</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国防（类）支出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万元，占一般公共预算财政拨款总支出的</w:t>
      </w:r>
      <w:r>
        <w:rPr>
          <w:rFonts w:ascii="Times New Roman" w:hAnsi="Times New Roman" w:cs="Times New Roman"/>
          <w:bCs/>
          <w:sz w:val="32"/>
          <w:szCs w:val="32"/>
        </w:rPr>
        <w:t>0.00%</w:t>
      </w:r>
      <w:r>
        <w:rPr>
          <w:rFonts w:ascii="Times New Roman" w:hAnsi="Times New Roman" w:eastAsia="方正仿宋_GBK" w:cs="Times New Roman"/>
          <w:bCs/>
          <w:sz w:val="32"/>
          <w:szCs w:val="32"/>
        </w:rPr>
        <w:t>。</w:t>
      </w:r>
    </w:p>
    <w:p>
      <w:pPr>
        <w:spacing w:line="590" w:lineRule="exact"/>
        <w:ind w:firstLine="640" w:firstLineChars="200"/>
        <w:rPr>
          <w:rFonts w:ascii="Times New Roman" w:hAnsi="Times New Roman" w:cs="Times New Roman"/>
          <w:bCs/>
          <w:sz w:val="32"/>
          <w:szCs w:val="32"/>
        </w:rPr>
      </w:pPr>
      <w:r>
        <w:rPr>
          <w:rFonts w:ascii="Times New Roman" w:hAnsi="Times New Roman" w:cs="Times New Roman"/>
          <w:bCs/>
          <w:sz w:val="32"/>
          <w:szCs w:val="32"/>
        </w:rPr>
        <w:t>4</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公共安全（类）支出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万元，占一般公共预算财政拨款总支出的</w:t>
      </w:r>
      <w:r>
        <w:rPr>
          <w:rFonts w:ascii="Times New Roman" w:hAnsi="Times New Roman" w:cs="Times New Roman"/>
          <w:bCs/>
          <w:sz w:val="32"/>
          <w:szCs w:val="32"/>
        </w:rPr>
        <w:t>0.00%。</w:t>
      </w:r>
    </w:p>
    <w:p>
      <w:pPr>
        <w:spacing w:line="590" w:lineRule="exact"/>
        <w:ind w:firstLine="640" w:firstLineChars="200"/>
        <w:rPr>
          <w:rFonts w:ascii="Times New Roman" w:hAnsi="Times New Roman" w:eastAsia="方正仿宋_GBK" w:cs="Times New Roman"/>
          <w:bCs/>
          <w:sz w:val="32"/>
          <w:szCs w:val="32"/>
        </w:rPr>
      </w:pPr>
      <w:r>
        <w:rPr>
          <w:rFonts w:ascii="Times New Roman" w:hAnsi="Times New Roman" w:cs="Times New Roman"/>
          <w:bCs/>
          <w:sz w:val="32"/>
          <w:szCs w:val="32"/>
        </w:rPr>
        <w:t>5</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教育（类）支出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万元，占一般公共预算财政拨款总支出的</w:t>
      </w:r>
      <w:r>
        <w:rPr>
          <w:rFonts w:ascii="Times New Roman" w:hAnsi="Times New Roman" w:cs="Times New Roman"/>
          <w:bCs/>
          <w:sz w:val="32"/>
          <w:szCs w:val="32"/>
        </w:rPr>
        <w:t>0.00%</w:t>
      </w:r>
      <w:r>
        <w:rPr>
          <w:rFonts w:ascii="Times New Roman" w:hAnsi="Times New Roman" w:eastAsia="方正仿宋_GBK" w:cs="Times New Roman"/>
          <w:bCs/>
          <w:sz w:val="32"/>
          <w:szCs w:val="32"/>
        </w:rPr>
        <w:t>。</w:t>
      </w:r>
    </w:p>
    <w:p>
      <w:pPr>
        <w:spacing w:line="590" w:lineRule="exact"/>
        <w:ind w:firstLine="640" w:firstLineChars="200"/>
        <w:rPr>
          <w:rFonts w:ascii="Times New Roman" w:hAnsi="Times New Roman" w:eastAsia="方正仿宋_GBK" w:cs="Times New Roman"/>
          <w:bCs/>
          <w:sz w:val="32"/>
          <w:szCs w:val="32"/>
        </w:rPr>
      </w:pPr>
      <w:r>
        <w:rPr>
          <w:rFonts w:ascii="Times New Roman" w:hAnsi="Times New Roman" w:cs="Times New Roman"/>
          <w:bCs/>
          <w:sz w:val="32"/>
          <w:szCs w:val="32"/>
        </w:rPr>
        <w:t>6</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科学技术（类）支出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万元，占一般公共预算财政拨款总支出的</w:t>
      </w:r>
      <w:r>
        <w:rPr>
          <w:rFonts w:ascii="Times New Roman" w:hAnsi="Times New Roman" w:cs="Times New Roman"/>
          <w:bCs/>
          <w:sz w:val="32"/>
          <w:szCs w:val="32"/>
        </w:rPr>
        <w:t>0.00%</w:t>
      </w:r>
      <w:r>
        <w:rPr>
          <w:rFonts w:ascii="Times New Roman" w:hAnsi="Times New Roman" w:eastAsia="方正仿宋_GBK" w:cs="Times New Roman"/>
          <w:bCs/>
          <w:sz w:val="32"/>
          <w:szCs w:val="32"/>
        </w:rPr>
        <w:t>。</w:t>
      </w:r>
    </w:p>
    <w:p>
      <w:pPr>
        <w:spacing w:line="590" w:lineRule="exact"/>
        <w:ind w:firstLine="640" w:firstLineChars="200"/>
        <w:rPr>
          <w:rFonts w:ascii="Times New Roman" w:hAnsi="Times New Roman" w:eastAsia="方正仿宋_GBK" w:cs="Times New Roman"/>
          <w:bCs/>
          <w:sz w:val="32"/>
          <w:szCs w:val="32"/>
        </w:rPr>
      </w:pPr>
      <w:r>
        <w:rPr>
          <w:rFonts w:ascii="Times New Roman" w:hAnsi="Times New Roman" w:cs="Times New Roman"/>
          <w:bCs/>
          <w:sz w:val="32"/>
          <w:szCs w:val="32"/>
        </w:rPr>
        <w:t>7</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文化旅游体育与传媒（类）支出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万元，占一般公共预算财政拨款总支出的</w:t>
      </w:r>
      <w:r>
        <w:rPr>
          <w:rFonts w:ascii="Times New Roman" w:hAnsi="Times New Roman" w:cs="Times New Roman"/>
          <w:bCs/>
          <w:sz w:val="32"/>
          <w:szCs w:val="32"/>
        </w:rPr>
        <w:t>0.00%</w:t>
      </w:r>
      <w:r>
        <w:rPr>
          <w:rFonts w:ascii="Times New Roman" w:hAnsi="Times New Roman" w:eastAsia="方正仿宋_GBK" w:cs="Times New Roman"/>
          <w:bCs/>
          <w:sz w:val="32"/>
          <w:szCs w:val="32"/>
        </w:rPr>
        <w:t>。</w:t>
      </w:r>
    </w:p>
    <w:p>
      <w:pPr>
        <w:spacing w:line="590" w:lineRule="exact"/>
        <w:ind w:firstLine="640" w:firstLineChars="200"/>
        <w:rPr>
          <w:rFonts w:ascii="Times New Roman" w:hAnsi="Times New Roman" w:eastAsia="方正仿宋_GBK" w:cs="Times New Roman"/>
          <w:bCs/>
          <w:sz w:val="32"/>
          <w:szCs w:val="32"/>
          <w:shd w:val="clear" w:color="auto" w:fill="FFFFFF"/>
        </w:rPr>
      </w:pPr>
      <w:r>
        <w:rPr>
          <w:rFonts w:ascii="Times New Roman" w:hAnsi="Times New Roman" w:cs="Times New Roman"/>
          <w:bCs/>
          <w:sz w:val="32"/>
          <w:szCs w:val="32"/>
        </w:rPr>
        <w:t>8</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社会保障和就业（类）支出</w:t>
      </w:r>
      <w:r>
        <w:rPr>
          <w:rFonts w:ascii="Times New Roman" w:hAnsi="Times New Roman" w:cs="Times New Roman"/>
          <w:bCs/>
          <w:sz w:val="32"/>
          <w:szCs w:val="32"/>
        </w:rPr>
        <w:t>51.51</w:t>
      </w:r>
      <w:r>
        <w:rPr>
          <w:rFonts w:ascii="Times New Roman" w:hAnsi="Times New Roman" w:eastAsia="方正仿宋_GBK" w:cs="Times New Roman"/>
          <w:bCs/>
          <w:sz w:val="32"/>
          <w:szCs w:val="32"/>
        </w:rPr>
        <w:t>万元，占一般公共预算财政拨款总支出的</w:t>
      </w:r>
      <w:r>
        <w:rPr>
          <w:rFonts w:ascii="Times New Roman" w:hAnsi="Times New Roman" w:cs="Times New Roman"/>
          <w:bCs/>
          <w:sz w:val="32"/>
          <w:szCs w:val="32"/>
        </w:rPr>
        <w:t>11.83%</w:t>
      </w:r>
      <w:r>
        <w:rPr>
          <w:rFonts w:ascii="Times New Roman" w:hAnsi="Times New Roman" w:eastAsia="方正仿宋_GBK" w:cs="Times New Roman"/>
          <w:bCs/>
          <w:sz w:val="32"/>
          <w:szCs w:val="32"/>
        </w:rPr>
        <w:t>。</w:t>
      </w:r>
      <w:r>
        <w:rPr>
          <w:rFonts w:ascii="Times New Roman" w:hAnsi="Times New Roman" w:eastAsia="方正仿宋_GBK" w:cs="Times New Roman"/>
          <w:bCs/>
          <w:sz w:val="32"/>
          <w:szCs w:val="32"/>
          <w:shd w:val="clear" w:color="auto" w:fill="FFFFFF"/>
        </w:rPr>
        <w:t>主要用于机关事业单位基本养老保险缴费支出40.74万元，职业年金6.22万元、离退休生活费4.55万元。</w:t>
      </w:r>
    </w:p>
    <w:p>
      <w:pPr>
        <w:spacing w:line="590" w:lineRule="exact"/>
        <w:ind w:firstLine="640" w:firstLineChars="200"/>
        <w:rPr>
          <w:rFonts w:ascii="Times New Roman" w:hAnsi="Times New Roman" w:eastAsia="方正仿宋_GBK" w:cs="Times New Roman"/>
          <w:bCs/>
          <w:sz w:val="32"/>
          <w:szCs w:val="32"/>
          <w:shd w:val="clear" w:color="auto" w:fill="FFFFFF"/>
        </w:rPr>
      </w:pPr>
      <w:r>
        <w:rPr>
          <w:rFonts w:ascii="Times New Roman" w:hAnsi="Times New Roman" w:cs="Times New Roman"/>
          <w:bCs/>
          <w:sz w:val="32"/>
          <w:szCs w:val="32"/>
        </w:rPr>
        <w:t>9</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卫生健康（类）支出</w:t>
      </w:r>
      <w:r>
        <w:rPr>
          <w:rFonts w:ascii="Times New Roman" w:hAnsi="Times New Roman" w:cs="Times New Roman"/>
          <w:bCs/>
          <w:sz w:val="32"/>
          <w:szCs w:val="32"/>
        </w:rPr>
        <w:t>333.66</w:t>
      </w:r>
      <w:r>
        <w:rPr>
          <w:rFonts w:ascii="Times New Roman" w:hAnsi="Times New Roman" w:eastAsia="方正仿宋_GBK" w:cs="Times New Roman"/>
          <w:bCs/>
          <w:sz w:val="32"/>
          <w:szCs w:val="32"/>
        </w:rPr>
        <w:t>万元，占一般公共预算财政拨款总支出的</w:t>
      </w:r>
      <w:r>
        <w:rPr>
          <w:rFonts w:ascii="Times New Roman" w:hAnsi="Times New Roman" w:cs="Times New Roman"/>
          <w:bCs/>
          <w:sz w:val="32"/>
          <w:szCs w:val="32"/>
        </w:rPr>
        <w:t>76.65%</w:t>
      </w:r>
      <w:r>
        <w:rPr>
          <w:rFonts w:ascii="Times New Roman" w:hAnsi="Times New Roman" w:eastAsia="方正仿宋_GBK" w:cs="Times New Roman"/>
          <w:bCs/>
          <w:sz w:val="32"/>
          <w:szCs w:val="32"/>
        </w:rPr>
        <w:t>。</w:t>
      </w:r>
      <w:r>
        <w:rPr>
          <w:rFonts w:ascii="Times New Roman" w:hAnsi="Times New Roman" w:eastAsia="方正仿宋_GBK" w:cs="Times New Roman"/>
          <w:bCs/>
          <w:sz w:val="32"/>
          <w:szCs w:val="32"/>
          <w:shd w:val="clear" w:color="auto" w:fill="FFFFFF"/>
        </w:rPr>
        <w:t>主要用于乡镇卫生院312.18万元（基本工资107.29万元，津贴补贴33.66万元，绩效工资168.47万元，其他社会保障缴费0.82万元，对个人和家庭的补助1.94万元）；事业单位医疗21.48万元（职工基本医疗保险缴费21.48万元）。</w:t>
      </w:r>
    </w:p>
    <w:p>
      <w:pPr>
        <w:spacing w:line="590" w:lineRule="exact"/>
        <w:ind w:firstLine="640" w:firstLineChars="200"/>
        <w:rPr>
          <w:rFonts w:ascii="Times New Roman" w:hAnsi="Times New Roman" w:eastAsia="方正仿宋_GBK" w:cs="Times New Roman"/>
          <w:bCs/>
          <w:sz w:val="32"/>
          <w:szCs w:val="32"/>
        </w:rPr>
      </w:pPr>
      <w:r>
        <w:rPr>
          <w:rFonts w:ascii="Times New Roman" w:hAnsi="Times New Roman" w:cs="Times New Roman"/>
          <w:bCs/>
          <w:sz w:val="32"/>
          <w:szCs w:val="32"/>
        </w:rPr>
        <w:t>10</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节能环保（类）支出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万元，占一般公共预算财政拨款总支出的</w:t>
      </w:r>
      <w:r>
        <w:rPr>
          <w:rFonts w:ascii="Times New Roman" w:hAnsi="Times New Roman" w:cs="Times New Roman"/>
          <w:bCs/>
          <w:sz w:val="32"/>
          <w:szCs w:val="32"/>
        </w:rPr>
        <w:t>0.00%</w:t>
      </w:r>
      <w:r>
        <w:rPr>
          <w:rFonts w:ascii="Times New Roman" w:hAnsi="Times New Roman" w:eastAsia="方正仿宋_GBK" w:cs="Times New Roman"/>
          <w:bCs/>
          <w:sz w:val="32"/>
          <w:szCs w:val="32"/>
        </w:rPr>
        <w:t>。</w:t>
      </w:r>
    </w:p>
    <w:p>
      <w:pPr>
        <w:spacing w:line="590" w:lineRule="exact"/>
        <w:ind w:firstLine="640" w:firstLineChars="200"/>
        <w:rPr>
          <w:rFonts w:ascii="Times New Roman" w:hAnsi="Times New Roman" w:eastAsia="方正仿宋_GBK" w:cs="Times New Roman"/>
          <w:bCs/>
          <w:sz w:val="32"/>
          <w:szCs w:val="32"/>
        </w:rPr>
      </w:pPr>
      <w:r>
        <w:rPr>
          <w:rFonts w:ascii="Times New Roman" w:hAnsi="Times New Roman" w:cs="Times New Roman"/>
          <w:bCs/>
          <w:sz w:val="32"/>
          <w:szCs w:val="32"/>
        </w:rPr>
        <w:t>11</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城乡社区（类）支出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万元，占一般公共预算财政拨款总支出的</w:t>
      </w:r>
      <w:r>
        <w:rPr>
          <w:rFonts w:ascii="Times New Roman" w:hAnsi="Times New Roman" w:cs="Times New Roman"/>
          <w:bCs/>
          <w:sz w:val="32"/>
          <w:szCs w:val="32"/>
        </w:rPr>
        <w:t>0.00%</w:t>
      </w:r>
      <w:r>
        <w:rPr>
          <w:rFonts w:ascii="Times New Roman" w:hAnsi="Times New Roman" w:eastAsia="方正仿宋_GBK" w:cs="Times New Roman"/>
          <w:bCs/>
          <w:sz w:val="32"/>
          <w:szCs w:val="32"/>
        </w:rPr>
        <w:t>。</w:t>
      </w:r>
    </w:p>
    <w:p>
      <w:pPr>
        <w:spacing w:line="590" w:lineRule="exact"/>
        <w:ind w:firstLine="640" w:firstLineChars="200"/>
        <w:rPr>
          <w:rFonts w:ascii="Times New Roman" w:hAnsi="Times New Roman" w:eastAsia="方正仿宋_GBK" w:cs="Times New Roman"/>
          <w:bCs/>
          <w:sz w:val="32"/>
          <w:szCs w:val="32"/>
        </w:rPr>
      </w:pPr>
      <w:r>
        <w:rPr>
          <w:rFonts w:ascii="Times New Roman" w:hAnsi="Times New Roman" w:cs="Times New Roman"/>
          <w:bCs/>
          <w:sz w:val="32"/>
          <w:szCs w:val="32"/>
        </w:rPr>
        <w:t>12</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农林水（类）支出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万元，占一般公共预算财政拨款总支出的</w:t>
      </w:r>
      <w:r>
        <w:rPr>
          <w:rFonts w:ascii="Times New Roman" w:hAnsi="Times New Roman" w:cs="Times New Roman"/>
          <w:bCs/>
          <w:sz w:val="32"/>
          <w:szCs w:val="32"/>
        </w:rPr>
        <w:t>0.00%</w:t>
      </w:r>
      <w:r>
        <w:rPr>
          <w:rFonts w:ascii="Times New Roman" w:hAnsi="Times New Roman" w:eastAsia="方正仿宋_GBK" w:cs="Times New Roman"/>
          <w:bCs/>
          <w:sz w:val="32"/>
          <w:szCs w:val="32"/>
        </w:rPr>
        <w:t>。</w:t>
      </w:r>
    </w:p>
    <w:p>
      <w:pPr>
        <w:spacing w:line="590" w:lineRule="exact"/>
        <w:ind w:firstLine="640" w:firstLineChars="200"/>
        <w:rPr>
          <w:rFonts w:ascii="Times New Roman" w:hAnsi="Times New Roman" w:cs="Times New Roman"/>
          <w:bCs/>
          <w:sz w:val="32"/>
          <w:szCs w:val="32"/>
        </w:rPr>
      </w:pPr>
      <w:r>
        <w:rPr>
          <w:rFonts w:ascii="Times New Roman" w:hAnsi="Times New Roman" w:cs="Times New Roman"/>
          <w:bCs/>
          <w:sz w:val="32"/>
          <w:szCs w:val="32"/>
        </w:rPr>
        <w:t>13</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交通运输（类）支出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万元，占一般公共预算财政拨款总支出的</w:t>
      </w:r>
      <w:r>
        <w:rPr>
          <w:rFonts w:ascii="Times New Roman" w:hAnsi="Times New Roman" w:cs="Times New Roman"/>
          <w:bCs/>
          <w:sz w:val="32"/>
          <w:szCs w:val="32"/>
        </w:rPr>
        <w:t>0.00%。</w:t>
      </w:r>
    </w:p>
    <w:p>
      <w:pPr>
        <w:spacing w:line="590" w:lineRule="exact"/>
        <w:ind w:firstLine="640" w:firstLineChars="200"/>
        <w:rPr>
          <w:rFonts w:ascii="Times New Roman" w:hAnsi="Times New Roman" w:cs="Times New Roman"/>
          <w:bCs/>
          <w:sz w:val="32"/>
          <w:szCs w:val="32"/>
        </w:rPr>
      </w:pPr>
      <w:r>
        <w:rPr>
          <w:rFonts w:ascii="Times New Roman" w:hAnsi="Times New Roman" w:cs="Times New Roman"/>
          <w:bCs/>
          <w:sz w:val="32"/>
          <w:szCs w:val="32"/>
        </w:rPr>
        <w:t>14</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资源勘探工业信息等（类）支出类</w:t>
      </w:r>
      <w:r>
        <w:rPr>
          <w:rFonts w:ascii="Times New Roman" w:hAnsi="Times New Roman" w:cs="Times New Roman"/>
          <w:bCs/>
          <w:sz w:val="32"/>
          <w:szCs w:val="32"/>
        </w:rPr>
        <w:t>0.00</w:t>
      </w:r>
      <w:r>
        <w:rPr>
          <w:rFonts w:ascii="Times New Roman" w:hAnsi="Times New Roman" w:eastAsia="方正仿宋_GBK" w:cs="Times New Roman"/>
          <w:bCs/>
          <w:sz w:val="32"/>
          <w:szCs w:val="32"/>
        </w:rPr>
        <w:t>万元，占一般公共预算财政拨款总支出的</w:t>
      </w:r>
      <w:r>
        <w:rPr>
          <w:rFonts w:ascii="Times New Roman" w:hAnsi="Times New Roman" w:cs="Times New Roman"/>
          <w:bCs/>
          <w:sz w:val="32"/>
          <w:szCs w:val="32"/>
        </w:rPr>
        <w:t>0.00%。</w:t>
      </w:r>
    </w:p>
    <w:p>
      <w:pPr>
        <w:spacing w:line="590" w:lineRule="exact"/>
        <w:ind w:firstLine="640" w:firstLineChars="200"/>
        <w:rPr>
          <w:rFonts w:ascii="Times New Roman" w:hAnsi="Times New Roman" w:eastAsia="方正仿宋_GBK" w:cs="Times New Roman"/>
          <w:bCs/>
          <w:sz w:val="32"/>
          <w:szCs w:val="32"/>
        </w:rPr>
      </w:pPr>
      <w:r>
        <w:rPr>
          <w:rFonts w:ascii="Times New Roman" w:hAnsi="Times New Roman" w:cs="Times New Roman"/>
          <w:bCs/>
          <w:sz w:val="32"/>
          <w:szCs w:val="32"/>
        </w:rPr>
        <w:t>15</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商业服务业等（类）支出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万元，占一般公共预算财政拨款总支出的</w:t>
      </w:r>
      <w:r>
        <w:rPr>
          <w:rFonts w:ascii="Times New Roman" w:hAnsi="Times New Roman" w:cs="Times New Roman"/>
          <w:bCs/>
          <w:sz w:val="32"/>
          <w:szCs w:val="32"/>
        </w:rPr>
        <w:t>0.00%</w:t>
      </w:r>
      <w:r>
        <w:rPr>
          <w:rFonts w:ascii="Times New Roman" w:hAnsi="Times New Roman" w:eastAsia="方正仿宋_GBK" w:cs="Times New Roman"/>
          <w:bCs/>
          <w:sz w:val="32"/>
          <w:szCs w:val="32"/>
        </w:rPr>
        <w:t>。</w:t>
      </w:r>
    </w:p>
    <w:p>
      <w:pPr>
        <w:spacing w:line="590" w:lineRule="exact"/>
        <w:ind w:firstLine="640" w:firstLineChars="200"/>
        <w:rPr>
          <w:rFonts w:ascii="Times New Roman" w:hAnsi="Times New Roman" w:cs="Times New Roman"/>
          <w:bCs/>
          <w:sz w:val="32"/>
          <w:szCs w:val="32"/>
        </w:rPr>
      </w:pPr>
      <w:r>
        <w:rPr>
          <w:rFonts w:ascii="Times New Roman" w:hAnsi="Times New Roman" w:cs="Times New Roman"/>
          <w:bCs/>
          <w:sz w:val="32"/>
          <w:szCs w:val="32"/>
        </w:rPr>
        <w:t>16</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金融（类）支出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万元，占一般公共预算财政拨款总支出的</w:t>
      </w:r>
      <w:r>
        <w:rPr>
          <w:rFonts w:ascii="Times New Roman" w:hAnsi="Times New Roman" w:cs="Times New Roman"/>
          <w:bCs/>
          <w:sz w:val="32"/>
          <w:szCs w:val="32"/>
        </w:rPr>
        <w:t>0.00%。</w:t>
      </w:r>
    </w:p>
    <w:p>
      <w:pPr>
        <w:spacing w:line="590" w:lineRule="exact"/>
        <w:ind w:firstLine="640" w:firstLineChars="200"/>
        <w:rPr>
          <w:rFonts w:ascii="Times New Roman" w:hAnsi="Times New Roman" w:eastAsia="方正仿宋_GBK" w:cs="Times New Roman"/>
          <w:bCs/>
          <w:sz w:val="32"/>
          <w:szCs w:val="32"/>
        </w:rPr>
      </w:pPr>
      <w:r>
        <w:rPr>
          <w:rFonts w:ascii="Times New Roman" w:hAnsi="Times New Roman" w:cs="Times New Roman"/>
          <w:bCs/>
          <w:sz w:val="32"/>
          <w:szCs w:val="32"/>
        </w:rPr>
        <w:t>17</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援助其他地区（类）支出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万元，占一般公共预算财政拨款总支出的</w:t>
      </w:r>
      <w:r>
        <w:rPr>
          <w:rFonts w:ascii="Times New Roman" w:hAnsi="Times New Roman" w:cs="Times New Roman"/>
          <w:bCs/>
          <w:sz w:val="32"/>
          <w:szCs w:val="32"/>
        </w:rPr>
        <w:t>0.00%</w:t>
      </w:r>
      <w:r>
        <w:rPr>
          <w:rFonts w:ascii="Times New Roman" w:hAnsi="Times New Roman" w:eastAsia="方正仿宋_GBK" w:cs="Times New Roman"/>
          <w:bCs/>
          <w:sz w:val="32"/>
          <w:szCs w:val="32"/>
        </w:rPr>
        <w:t>。</w:t>
      </w:r>
    </w:p>
    <w:p>
      <w:pPr>
        <w:spacing w:line="590" w:lineRule="exact"/>
        <w:ind w:firstLine="640" w:firstLineChars="200"/>
        <w:rPr>
          <w:rFonts w:ascii="Times New Roman" w:hAnsi="Times New Roman" w:cs="Times New Roman"/>
          <w:bCs/>
          <w:sz w:val="32"/>
          <w:szCs w:val="32"/>
        </w:rPr>
      </w:pPr>
      <w:r>
        <w:rPr>
          <w:rFonts w:ascii="Times New Roman" w:hAnsi="Times New Roman" w:cs="Times New Roman"/>
          <w:bCs/>
          <w:sz w:val="32"/>
          <w:szCs w:val="32"/>
        </w:rPr>
        <w:t>18</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自然资源海洋气象等（类）支出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万元，占一般公共预算财政拨款总支出的</w:t>
      </w:r>
      <w:r>
        <w:rPr>
          <w:rFonts w:ascii="Times New Roman" w:hAnsi="Times New Roman" w:cs="Times New Roman"/>
          <w:bCs/>
          <w:sz w:val="32"/>
          <w:szCs w:val="32"/>
        </w:rPr>
        <w:t>0.00%。</w:t>
      </w:r>
    </w:p>
    <w:p>
      <w:pPr>
        <w:spacing w:line="590" w:lineRule="exact"/>
        <w:ind w:firstLine="640" w:firstLineChars="200"/>
        <w:rPr>
          <w:rFonts w:ascii="Times New Roman" w:hAnsi="Times New Roman" w:eastAsia="方正仿宋_GBK" w:cs="Times New Roman"/>
          <w:bCs/>
          <w:sz w:val="32"/>
          <w:szCs w:val="32"/>
          <w:shd w:val="clear" w:color="auto" w:fill="FFFFFF"/>
        </w:rPr>
      </w:pPr>
      <w:r>
        <w:rPr>
          <w:rFonts w:ascii="Times New Roman" w:hAnsi="Times New Roman" w:cs="Times New Roman"/>
          <w:bCs/>
          <w:sz w:val="32"/>
          <w:szCs w:val="32"/>
        </w:rPr>
        <w:t>19</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住房保障（类）支出</w:t>
      </w:r>
      <w:r>
        <w:rPr>
          <w:rFonts w:ascii="Times New Roman" w:hAnsi="Times New Roman" w:cs="Times New Roman"/>
          <w:bCs/>
          <w:sz w:val="32"/>
          <w:szCs w:val="32"/>
        </w:rPr>
        <w:t>50.15</w:t>
      </w:r>
      <w:r>
        <w:rPr>
          <w:rFonts w:ascii="Times New Roman" w:hAnsi="Times New Roman" w:eastAsia="方正仿宋_GBK" w:cs="Times New Roman"/>
          <w:bCs/>
          <w:sz w:val="32"/>
          <w:szCs w:val="32"/>
        </w:rPr>
        <w:t>万元，占一般公共预算财政拨款总支出的</w:t>
      </w:r>
      <w:r>
        <w:rPr>
          <w:rFonts w:ascii="Times New Roman" w:hAnsi="Times New Roman" w:cs="Times New Roman"/>
          <w:bCs/>
          <w:sz w:val="32"/>
          <w:szCs w:val="32"/>
        </w:rPr>
        <w:t>11.52%</w:t>
      </w:r>
      <w:r>
        <w:rPr>
          <w:rFonts w:ascii="Times New Roman" w:hAnsi="Times New Roman" w:eastAsia="方正仿宋_GBK" w:cs="Times New Roman"/>
          <w:bCs/>
          <w:sz w:val="32"/>
          <w:szCs w:val="32"/>
        </w:rPr>
        <w:t>。</w:t>
      </w:r>
      <w:r>
        <w:rPr>
          <w:rFonts w:ascii="Times New Roman" w:hAnsi="Times New Roman" w:eastAsia="方正仿宋_GBK" w:cs="Times New Roman"/>
          <w:bCs/>
          <w:sz w:val="32"/>
          <w:szCs w:val="32"/>
          <w:shd w:val="clear" w:color="auto" w:fill="FFFFFF"/>
        </w:rPr>
        <w:t>主要用于住房公积金46.44万元，购房补助3.71万元。</w:t>
      </w:r>
    </w:p>
    <w:p>
      <w:pPr>
        <w:spacing w:line="590" w:lineRule="exact"/>
        <w:ind w:firstLine="640" w:firstLineChars="200"/>
        <w:rPr>
          <w:rFonts w:ascii="Times New Roman" w:hAnsi="Times New Roman" w:cs="Times New Roman"/>
          <w:bCs/>
          <w:sz w:val="32"/>
          <w:szCs w:val="32"/>
        </w:rPr>
      </w:pPr>
      <w:r>
        <w:rPr>
          <w:rFonts w:ascii="Times New Roman" w:hAnsi="Times New Roman" w:cs="Times New Roman"/>
          <w:bCs/>
          <w:sz w:val="32"/>
          <w:szCs w:val="32"/>
        </w:rPr>
        <w:t>20</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粮油物资储备（类）支出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万元，占一般公共预算财政拨款总支出的</w:t>
      </w:r>
      <w:r>
        <w:rPr>
          <w:rFonts w:ascii="Times New Roman" w:hAnsi="Times New Roman" w:cs="Times New Roman"/>
          <w:bCs/>
          <w:sz w:val="32"/>
          <w:szCs w:val="32"/>
        </w:rPr>
        <w:t>0.00%。</w:t>
      </w:r>
    </w:p>
    <w:p>
      <w:pPr>
        <w:spacing w:line="590" w:lineRule="exact"/>
        <w:ind w:firstLine="640" w:firstLineChars="200"/>
        <w:rPr>
          <w:rFonts w:ascii="Times New Roman" w:hAnsi="Times New Roman" w:cs="Times New Roman"/>
          <w:bCs/>
          <w:sz w:val="32"/>
          <w:szCs w:val="32"/>
        </w:rPr>
      </w:pPr>
      <w:r>
        <w:rPr>
          <w:rFonts w:ascii="Times New Roman" w:hAnsi="Times New Roman" w:cs="Times New Roman"/>
          <w:bCs/>
          <w:sz w:val="32"/>
          <w:szCs w:val="32"/>
        </w:rPr>
        <w:t>21</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国有资本经营预算（类）支出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万元，占一般公共预算财政拨款总支出的</w:t>
      </w:r>
      <w:r>
        <w:rPr>
          <w:rFonts w:ascii="Times New Roman" w:hAnsi="Times New Roman" w:cs="Times New Roman"/>
          <w:bCs/>
          <w:sz w:val="32"/>
          <w:szCs w:val="32"/>
        </w:rPr>
        <w:t>0.00%。</w:t>
      </w:r>
    </w:p>
    <w:p>
      <w:pPr>
        <w:spacing w:line="590" w:lineRule="exact"/>
        <w:ind w:firstLine="640" w:firstLineChars="200"/>
        <w:rPr>
          <w:rFonts w:ascii="Times New Roman" w:hAnsi="Times New Roman" w:cs="Times New Roman"/>
          <w:bCs/>
          <w:sz w:val="32"/>
          <w:szCs w:val="32"/>
        </w:rPr>
      </w:pPr>
      <w:r>
        <w:rPr>
          <w:rFonts w:ascii="Times New Roman" w:hAnsi="Times New Roman" w:cs="Times New Roman"/>
          <w:bCs/>
          <w:sz w:val="32"/>
          <w:szCs w:val="32"/>
        </w:rPr>
        <w:t>22</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灾害防治及应急管理（类）支出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万元，占一般公共预算财政拨款总支出的</w:t>
      </w:r>
      <w:r>
        <w:rPr>
          <w:rFonts w:ascii="Times New Roman" w:hAnsi="Times New Roman" w:cs="Times New Roman"/>
          <w:bCs/>
          <w:sz w:val="32"/>
          <w:szCs w:val="32"/>
        </w:rPr>
        <w:t>0.00%。</w:t>
      </w:r>
    </w:p>
    <w:p>
      <w:pPr>
        <w:spacing w:line="590" w:lineRule="exact"/>
        <w:ind w:firstLine="640" w:firstLineChars="200"/>
        <w:rPr>
          <w:rFonts w:ascii="Times New Roman" w:hAnsi="Times New Roman" w:cs="Times New Roman"/>
          <w:bCs/>
          <w:sz w:val="32"/>
          <w:szCs w:val="32"/>
        </w:rPr>
      </w:pPr>
      <w:r>
        <w:rPr>
          <w:rFonts w:ascii="Times New Roman" w:hAnsi="Times New Roman" w:cs="Times New Roman"/>
          <w:bCs/>
          <w:sz w:val="32"/>
          <w:szCs w:val="32"/>
        </w:rPr>
        <w:t>23</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其他（类）支出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万元，占一般公共预算财政拨款总支出的</w:t>
      </w:r>
      <w:r>
        <w:rPr>
          <w:rFonts w:ascii="Times New Roman" w:hAnsi="Times New Roman" w:cs="Times New Roman"/>
          <w:bCs/>
          <w:sz w:val="32"/>
          <w:szCs w:val="32"/>
        </w:rPr>
        <w:t>0.00%。</w:t>
      </w:r>
    </w:p>
    <w:p>
      <w:pPr>
        <w:spacing w:line="590" w:lineRule="exact"/>
        <w:ind w:firstLine="640" w:firstLineChars="200"/>
        <w:rPr>
          <w:rFonts w:ascii="Times New Roman" w:hAnsi="Times New Roman" w:cs="Times New Roman"/>
          <w:bCs/>
          <w:sz w:val="32"/>
          <w:szCs w:val="32"/>
        </w:rPr>
      </w:pPr>
      <w:r>
        <w:rPr>
          <w:rFonts w:ascii="Times New Roman" w:hAnsi="Times New Roman" w:cs="Times New Roman"/>
          <w:bCs/>
          <w:sz w:val="32"/>
          <w:szCs w:val="32"/>
        </w:rPr>
        <w:t>24</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债务还本（类）支出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万元，占一般公共预算财政拨款总支出的</w:t>
      </w:r>
      <w:r>
        <w:rPr>
          <w:rFonts w:ascii="Times New Roman" w:hAnsi="Times New Roman" w:cs="Times New Roman"/>
          <w:bCs/>
          <w:sz w:val="32"/>
          <w:szCs w:val="32"/>
        </w:rPr>
        <w:t>0.00%。</w:t>
      </w:r>
    </w:p>
    <w:p>
      <w:pPr>
        <w:spacing w:line="590" w:lineRule="exact"/>
        <w:ind w:firstLine="640" w:firstLineChars="200"/>
        <w:rPr>
          <w:rFonts w:ascii="Times New Roman" w:hAnsi="Times New Roman" w:cs="Times New Roman"/>
          <w:bCs/>
          <w:sz w:val="32"/>
          <w:szCs w:val="32"/>
        </w:rPr>
      </w:pPr>
      <w:r>
        <w:rPr>
          <w:rFonts w:ascii="Times New Roman" w:hAnsi="Times New Roman" w:cs="Times New Roman"/>
          <w:bCs/>
          <w:sz w:val="32"/>
          <w:szCs w:val="32"/>
        </w:rPr>
        <w:t>25</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债务付息（类）支出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万元，占一般公共预算财政拨款总支出</w:t>
      </w:r>
      <w:r>
        <w:rPr>
          <w:rFonts w:ascii="Times New Roman" w:hAnsi="Times New Roman" w:cs="Times New Roman"/>
          <w:bCs/>
          <w:sz w:val="32"/>
          <w:szCs w:val="32"/>
        </w:rPr>
        <w:t>0.00%。</w:t>
      </w:r>
    </w:p>
    <w:p>
      <w:pPr>
        <w:spacing w:line="590" w:lineRule="exact"/>
        <w:ind w:firstLine="640" w:firstLineChars="200"/>
        <w:rPr>
          <w:rFonts w:ascii="Times New Roman" w:hAnsi="Times New Roman" w:eastAsia="方正仿宋_GBK" w:cs="Times New Roman"/>
          <w:bCs/>
          <w:sz w:val="32"/>
          <w:szCs w:val="32"/>
        </w:rPr>
      </w:pPr>
      <w:r>
        <w:rPr>
          <w:rFonts w:ascii="Times New Roman" w:hAnsi="Times New Roman" w:cs="Times New Roman"/>
          <w:bCs/>
          <w:sz w:val="32"/>
          <w:szCs w:val="32"/>
        </w:rPr>
        <w:t>26</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抗疫特别国债安排（类）支出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万元，占一般公共预算财政拨款总支出的</w:t>
      </w:r>
      <w:r>
        <w:rPr>
          <w:rFonts w:ascii="Times New Roman" w:hAnsi="Times New Roman" w:cs="Times New Roman"/>
          <w:bCs/>
          <w:sz w:val="32"/>
          <w:szCs w:val="32"/>
        </w:rPr>
        <w:t>0.00%</w:t>
      </w:r>
      <w:r>
        <w:rPr>
          <w:rFonts w:ascii="Times New Roman" w:hAnsi="Times New Roman" w:eastAsia="方正仿宋_GBK" w:cs="Times New Roman"/>
          <w:bCs/>
          <w:sz w:val="32"/>
          <w:szCs w:val="32"/>
        </w:rPr>
        <w:t>。</w:t>
      </w:r>
    </w:p>
    <w:p>
      <w:pPr>
        <w:spacing w:line="59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四、一般公共预算财政拨款“三公”经费支出决算情况说明</w:t>
      </w:r>
    </w:p>
    <w:p>
      <w:pPr>
        <w:spacing w:line="590" w:lineRule="exact"/>
        <w:ind w:firstLine="560" w:firstLineChars="200"/>
        <w:rPr>
          <w:rFonts w:ascii="方正楷体_GBK" w:hAnsi="Times New Roman" w:eastAsia="方正楷体_GBK" w:cs="Times New Roman"/>
          <w:bCs/>
          <w:spacing w:val="-20"/>
          <w:sz w:val="32"/>
          <w:szCs w:val="32"/>
        </w:rPr>
      </w:pPr>
      <w:r>
        <w:rPr>
          <w:rFonts w:hint="eastAsia" w:ascii="方正楷体_GBK" w:hAnsi="Times New Roman" w:eastAsia="方正楷体_GBK" w:cs="Times New Roman"/>
          <w:bCs/>
          <w:spacing w:val="-20"/>
          <w:sz w:val="32"/>
          <w:szCs w:val="32"/>
        </w:rPr>
        <w:t>（一）一般公共预算财政拨款“三公”经费支出决算总体情况</w:t>
      </w:r>
    </w:p>
    <w:p>
      <w:pPr>
        <w:spacing w:line="590" w:lineRule="exact"/>
        <w:ind w:firstLine="640" w:firstLineChars="200"/>
        <w:rPr>
          <w:rFonts w:ascii="Times New Roman" w:hAnsi="Times New Roman" w:cs="Times New Roman"/>
          <w:bCs/>
          <w:sz w:val="32"/>
          <w:szCs w:val="32"/>
        </w:rPr>
      </w:pPr>
      <w:r>
        <w:rPr>
          <w:rFonts w:ascii="Times New Roman" w:hAnsi="Times New Roman" w:eastAsia="方正仿宋_GBK" w:cs="Times New Roman"/>
          <w:bCs/>
          <w:sz w:val="32"/>
          <w:szCs w:val="32"/>
        </w:rPr>
        <w:t>元江哈尼族彝族傣族自治县曼来镇中心卫生院</w:t>
      </w:r>
      <w:r>
        <w:rPr>
          <w:rFonts w:ascii="Times New Roman" w:hAnsi="Times New Roman" w:cs="Times New Roman"/>
          <w:bCs/>
          <w:sz w:val="32"/>
          <w:szCs w:val="32"/>
        </w:rPr>
        <w:t>2021</w:t>
      </w:r>
      <w:r>
        <w:rPr>
          <w:rFonts w:ascii="Times New Roman" w:hAnsi="Times New Roman" w:eastAsia="方正仿宋_GBK" w:cs="Times New Roman"/>
          <w:bCs/>
          <w:sz w:val="32"/>
          <w:szCs w:val="32"/>
        </w:rPr>
        <w:t>年度一般公共预算财政拨款“三公”经费支出预算为</w:t>
      </w:r>
      <w:r>
        <w:rPr>
          <w:rFonts w:ascii="Times New Roman" w:hAnsi="Times New Roman" w:cs="Times New Roman"/>
          <w:bCs/>
          <w:sz w:val="32"/>
          <w:szCs w:val="32"/>
        </w:rPr>
        <w:t>0.00</w:t>
      </w:r>
      <w:r>
        <w:rPr>
          <w:rFonts w:ascii="Times New Roman" w:hAnsi="Times New Roman" w:eastAsia="方正仿宋_GBK" w:cs="Times New Roman"/>
          <w:bCs/>
          <w:sz w:val="32"/>
          <w:szCs w:val="32"/>
        </w:rPr>
        <w:t>万元，支出决算为</w:t>
      </w:r>
      <w:r>
        <w:rPr>
          <w:rFonts w:ascii="Times New Roman" w:hAnsi="Times New Roman" w:cs="Times New Roman"/>
          <w:bCs/>
          <w:sz w:val="32"/>
          <w:szCs w:val="32"/>
        </w:rPr>
        <w:t>0.00</w:t>
      </w:r>
      <w:r>
        <w:rPr>
          <w:rFonts w:ascii="Times New Roman" w:hAnsi="Times New Roman" w:eastAsia="方正仿宋_GBK" w:cs="Times New Roman"/>
          <w:bCs/>
          <w:sz w:val="32"/>
          <w:szCs w:val="32"/>
        </w:rPr>
        <w:t>万元，完成预算的</w:t>
      </w:r>
      <w:r>
        <w:rPr>
          <w:rFonts w:ascii="Times New Roman" w:hAnsi="Times New Roman" w:cs="Times New Roman"/>
          <w:bCs/>
          <w:sz w:val="32"/>
          <w:szCs w:val="32"/>
        </w:rPr>
        <w:t>0.00%</w:t>
      </w:r>
      <w:r>
        <w:rPr>
          <w:rFonts w:ascii="Times New Roman" w:hAnsi="Times New Roman" w:eastAsia="方正仿宋_GBK" w:cs="Times New Roman"/>
          <w:bCs/>
          <w:sz w:val="32"/>
          <w:szCs w:val="32"/>
        </w:rPr>
        <w:t>。其中：因公出国（境）费支出决算为</w:t>
      </w:r>
      <w:r>
        <w:rPr>
          <w:rFonts w:ascii="Times New Roman" w:hAnsi="Times New Roman" w:cs="Times New Roman"/>
          <w:bCs/>
          <w:sz w:val="32"/>
          <w:szCs w:val="32"/>
        </w:rPr>
        <w:t>0.00</w:t>
      </w:r>
      <w:r>
        <w:rPr>
          <w:rFonts w:ascii="Times New Roman" w:hAnsi="Times New Roman" w:eastAsia="方正仿宋_GBK" w:cs="Times New Roman"/>
          <w:bCs/>
          <w:sz w:val="32"/>
          <w:szCs w:val="32"/>
        </w:rPr>
        <w:t>万元，完成预算的</w:t>
      </w:r>
      <w:r>
        <w:rPr>
          <w:rFonts w:ascii="Times New Roman" w:hAnsi="Times New Roman" w:cs="Times New Roman"/>
          <w:bCs/>
          <w:sz w:val="32"/>
          <w:szCs w:val="32"/>
        </w:rPr>
        <w:t>0.00%</w:t>
      </w:r>
      <w:r>
        <w:rPr>
          <w:rFonts w:ascii="Times New Roman" w:hAnsi="Times New Roman" w:eastAsia="方正仿宋_GBK" w:cs="Times New Roman"/>
          <w:bCs/>
          <w:sz w:val="32"/>
          <w:szCs w:val="32"/>
        </w:rPr>
        <w:t>；公务用车购置及运行费支出决算为</w:t>
      </w:r>
      <w:r>
        <w:rPr>
          <w:rFonts w:ascii="Times New Roman" w:hAnsi="Times New Roman" w:cs="Times New Roman"/>
          <w:bCs/>
          <w:sz w:val="32"/>
          <w:szCs w:val="32"/>
        </w:rPr>
        <w:t>0.00</w:t>
      </w:r>
      <w:r>
        <w:rPr>
          <w:rFonts w:ascii="Times New Roman" w:hAnsi="Times New Roman" w:eastAsia="方正仿宋_GBK" w:cs="Times New Roman"/>
          <w:bCs/>
          <w:sz w:val="32"/>
          <w:szCs w:val="32"/>
        </w:rPr>
        <w:t>万元，完成预算的</w:t>
      </w:r>
      <w:r>
        <w:rPr>
          <w:rFonts w:ascii="Times New Roman" w:hAnsi="Times New Roman" w:cs="Times New Roman"/>
          <w:bCs/>
          <w:sz w:val="32"/>
          <w:szCs w:val="32"/>
        </w:rPr>
        <w:t>0.00%</w:t>
      </w:r>
      <w:r>
        <w:rPr>
          <w:rFonts w:ascii="Times New Roman" w:hAnsi="Times New Roman" w:eastAsia="方正仿宋_GBK" w:cs="Times New Roman"/>
          <w:bCs/>
          <w:sz w:val="32"/>
          <w:szCs w:val="32"/>
        </w:rPr>
        <w:t>；公务接待费支出决算为</w:t>
      </w:r>
      <w:r>
        <w:rPr>
          <w:rFonts w:ascii="Times New Roman" w:hAnsi="Times New Roman" w:cs="Times New Roman"/>
          <w:bCs/>
          <w:sz w:val="32"/>
          <w:szCs w:val="32"/>
        </w:rPr>
        <w:t>0.00</w:t>
      </w:r>
      <w:r>
        <w:rPr>
          <w:rFonts w:ascii="Times New Roman" w:hAnsi="Times New Roman" w:eastAsia="方正仿宋_GBK" w:cs="Times New Roman"/>
          <w:bCs/>
          <w:sz w:val="32"/>
          <w:szCs w:val="32"/>
        </w:rPr>
        <w:t>万元，完成预算的</w:t>
      </w:r>
      <w:r>
        <w:rPr>
          <w:rFonts w:ascii="Times New Roman" w:hAnsi="Times New Roman" w:cs="Times New Roman"/>
          <w:bCs/>
          <w:sz w:val="32"/>
          <w:szCs w:val="32"/>
        </w:rPr>
        <w:t>0.00%。</w:t>
      </w:r>
    </w:p>
    <w:p>
      <w:pPr>
        <w:spacing w:line="590" w:lineRule="exact"/>
        <w:ind w:firstLine="640" w:firstLineChars="200"/>
        <w:rPr>
          <w:rFonts w:ascii="Times New Roman" w:hAnsi="Times New Roman" w:cs="Times New Roman"/>
          <w:bCs/>
          <w:color w:val="000000"/>
          <w:sz w:val="32"/>
          <w:szCs w:val="32"/>
        </w:rPr>
      </w:pPr>
      <w:r>
        <w:rPr>
          <w:rFonts w:ascii="Times New Roman" w:hAnsi="Times New Roman" w:cs="Times New Roman"/>
          <w:bCs/>
          <w:sz w:val="32"/>
          <w:szCs w:val="32"/>
        </w:rPr>
        <w:t>2021</w:t>
      </w:r>
      <w:r>
        <w:rPr>
          <w:rFonts w:ascii="Times New Roman" w:hAnsi="Times New Roman" w:eastAsia="方正仿宋_GBK" w:cs="Times New Roman"/>
          <w:bCs/>
          <w:sz w:val="32"/>
          <w:szCs w:val="32"/>
        </w:rPr>
        <w:t>年度一般公共预算财政拨款“三公”经费支出决算数比</w:t>
      </w:r>
      <w:r>
        <w:rPr>
          <w:rFonts w:ascii="Times New Roman" w:hAnsi="Times New Roman" w:cs="Times New Roman"/>
          <w:bCs/>
          <w:sz w:val="32"/>
          <w:szCs w:val="32"/>
        </w:rPr>
        <w:t>2020</w:t>
      </w:r>
      <w:r>
        <w:rPr>
          <w:rFonts w:ascii="Times New Roman" w:hAnsi="Times New Roman" w:eastAsia="方正仿宋_GBK" w:cs="Times New Roman"/>
          <w:bCs/>
          <w:sz w:val="32"/>
          <w:szCs w:val="32"/>
        </w:rPr>
        <w:t>年增加</w:t>
      </w:r>
      <w:r>
        <w:rPr>
          <w:rFonts w:ascii="Times New Roman" w:hAnsi="Times New Roman" w:cs="Times New Roman"/>
          <w:bCs/>
          <w:sz w:val="32"/>
          <w:szCs w:val="32"/>
        </w:rPr>
        <w:t>0.00</w:t>
      </w:r>
      <w:r>
        <w:rPr>
          <w:rFonts w:ascii="Times New Roman" w:hAnsi="Times New Roman" w:eastAsia="方正仿宋_GBK" w:cs="Times New Roman"/>
          <w:bCs/>
          <w:sz w:val="32"/>
          <w:szCs w:val="32"/>
        </w:rPr>
        <w:t>万元，增长</w:t>
      </w:r>
      <w:r>
        <w:rPr>
          <w:rFonts w:ascii="Times New Roman" w:hAnsi="Times New Roman" w:cs="Times New Roman"/>
          <w:bCs/>
          <w:sz w:val="32"/>
          <w:szCs w:val="32"/>
        </w:rPr>
        <w:t>0.00%</w:t>
      </w:r>
      <w:r>
        <w:rPr>
          <w:rFonts w:ascii="Times New Roman" w:hAnsi="Times New Roman" w:eastAsia="方正仿宋_GBK" w:cs="Times New Roman"/>
          <w:bCs/>
          <w:sz w:val="32"/>
          <w:szCs w:val="32"/>
        </w:rPr>
        <w:t>。其中：因公出国（境）费支出决算增加</w:t>
      </w:r>
      <w:r>
        <w:rPr>
          <w:rFonts w:ascii="Times New Roman" w:hAnsi="Times New Roman" w:cs="Times New Roman"/>
          <w:bCs/>
          <w:sz w:val="32"/>
          <w:szCs w:val="32"/>
        </w:rPr>
        <w:t>0.00</w:t>
      </w:r>
      <w:r>
        <w:rPr>
          <w:rFonts w:ascii="Times New Roman" w:hAnsi="Times New Roman" w:eastAsia="方正仿宋_GBK" w:cs="Times New Roman"/>
          <w:bCs/>
          <w:sz w:val="32"/>
          <w:szCs w:val="32"/>
        </w:rPr>
        <w:t>万元，增长</w:t>
      </w:r>
      <w:r>
        <w:rPr>
          <w:rFonts w:ascii="Times New Roman" w:hAnsi="Times New Roman" w:cs="Times New Roman"/>
          <w:bCs/>
          <w:sz w:val="32"/>
          <w:szCs w:val="32"/>
        </w:rPr>
        <w:t>0.00%</w:t>
      </w:r>
      <w:r>
        <w:rPr>
          <w:rFonts w:ascii="Times New Roman" w:hAnsi="Times New Roman" w:eastAsia="方正仿宋_GBK" w:cs="Times New Roman"/>
          <w:bCs/>
          <w:sz w:val="32"/>
          <w:szCs w:val="32"/>
        </w:rPr>
        <w:t>；公务用车购置及运行费支出决算增加</w:t>
      </w:r>
      <w:r>
        <w:rPr>
          <w:rFonts w:ascii="Times New Roman" w:hAnsi="Times New Roman" w:cs="Times New Roman"/>
          <w:bCs/>
          <w:sz w:val="32"/>
          <w:szCs w:val="32"/>
        </w:rPr>
        <w:t>0.00</w:t>
      </w:r>
      <w:r>
        <w:rPr>
          <w:rFonts w:ascii="Times New Roman" w:hAnsi="Times New Roman" w:eastAsia="方正仿宋_GBK" w:cs="Times New Roman"/>
          <w:bCs/>
          <w:sz w:val="32"/>
          <w:szCs w:val="32"/>
        </w:rPr>
        <w:t>万元，增长</w:t>
      </w:r>
      <w:r>
        <w:rPr>
          <w:rFonts w:ascii="Times New Roman" w:hAnsi="Times New Roman" w:cs="Times New Roman"/>
          <w:bCs/>
          <w:sz w:val="32"/>
          <w:szCs w:val="32"/>
        </w:rPr>
        <w:t>0.00%</w:t>
      </w:r>
      <w:r>
        <w:rPr>
          <w:rFonts w:ascii="Times New Roman" w:hAnsi="Times New Roman" w:eastAsia="方正仿宋_GBK" w:cs="Times New Roman"/>
          <w:bCs/>
          <w:sz w:val="32"/>
          <w:szCs w:val="32"/>
        </w:rPr>
        <w:t>；公务接待费支出决算增加</w:t>
      </w:r>
      <w:r>
        <w:rPr>
          <w:rFonts w:ascii="Times New Roman" w:hAnsi="Times New Roman" w:cs="Times New Roman"/>
          <w:bCs/>
          <w:sz w:val="32"/>
          <w:szCs w:val="32"/>
        </w:rPr>
        <w:t>0.00</w:t>
      </w:r>
      <w:r>
        <w:rPr>
          <w:rFonts w:ascii="Times New Roman" w:hAnsi="Times New Roman" w:eastAsia="方正仿宋_GBK" w:cs="Times New Roman"/>
          <w:bCs/>
          <w:sz w:val="32"/>
          <w:szCs w:val="32"/>
        </w:rPr>
        <w:t>万元，增长</w:t>
      </w:r>
      <w:r>
        <w:rPr>
          <w:rFonts w:ascii="Times New Roman" w:hAnsi="Times New Roman" w:cs="Times New Roman"/>
          <w:bCs/>
          <w:sz w:val="32"/>
          <w:szCs w:val="32"/>
        </w:rPr>
        <w:t>0.0</w:t>
      </w:r>
      <w:r>
        <w:rPr>
          <w:rFonts w:ascii="Times New Roman" w:hAnsi="Times New Roman" w:cs="Times New Roman"/>
          <w:bCs/>
          <w:color w:val="000000"/>
          <w:sz w:val="32"/>
          <w:szCs w:val="32"/>
        </w:rPr>
        <w:t>0%。</w:t>
      </w:r>
    </w:p>
    <w:p>
      <w:pPr>
        <w:spacing w:line="590" w:lineRule="exact"/>
        <w:ind w:firstLine="560" w:firstLineChars="200"/>
        <w:rPr>
          <w:rFonts w:ascii="方正楷体_GBK" w:hAnsi="Times New Roman" w:eastAsia="方正楷体_GBK" w:cs="Times New Roman"/>
          <w:bCs/>
          <w:spacing w:val="-20"/>
          <w:sz w:val="32"/>
          <w:szCs w:val="32"/>
        </w:rPr>
      </w:pPr>
      <w:r>
        <w:rPr>
          <w:rFonts w:hint="eastAsia" w:ascii="方正楷体_GBK" w:hAnsi="Times New Roman" w:eastAsia="方正楷体_GBK" w:cs="Times New Roman"/>
          <w:bCs/>
          <w:spacing w:val="-20"/>
          <w:sz w:val="32"/>
          <w:szCs w:val="32"/>
        </w:rPr>
        <w:t>（二）一般公共预算财政拨款“三公”经费支出决算具体情况</w:t>
      </w:r>
    </w:p>
    <w:p>
      <w:pPr>
        <w:spacing w:line="590" w:lineRule="exact"/>
        <w:ind w:firstLine="640" w:firstLineChars="200"/>
        <w:rPr>
          <w:rFonts w:ascii="Times New Roman" w:hAnsi="Times New Roman" w:cs="Times New Roman"/>
          <w:bCs/>
          <w:sz w:val="32"/>
          <w:szCs w:val="32"/>
        </w:rPr>
      </w:pPr>
      <w:r>
        <w:rPr>
          <w:rFonts w:ascii="Times New Roman" w:hAnsi="Times New Roman" w:cs="Times New Roman"/>
          <w:bCs/>
          <w:sz w:val="32"/>
          <w:szCs w:val="32"/>
        </w:rPr>
        <w:t>2021</w:t>
      </w:r>
      <w:r>
        <w:rPr>
          <w:rFonts w:ascii="Times New Roman" w:hAnsi="Times New Roman" w:eastAsia="方正仿宋_GBK" w:cs="Times New Roman"/>
          <w:bCs/>
          <w:sz w:val="32"/>
          <w:szCs w:val="32"/>
        </w:rPr>
        <w:t>年度一般公共预算财政拨款“三公”经费支出决算中，因公出国（境）费支出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万元，占</w:t>
      </w:r>
      <w:r>
        <w:rPr>
          <w:rFonts w:ascii="Times New Roman" w:hAnsi="Times New Roman" w:cs="Times New Roman"/>
          <w:bCs/>
          <w:sz w:val="32"/>
          <w:szCs w:val="32"/>
        </w:rPr>
        <w:t>0.00%</w:t>
      </w:r>
      <w:r>
        <w:rPr>
          <w:rFonts w:ascii="Times New Roman" w:hAnsi="Times New Roman" w:eastAsia="方正仿宋_GBK" w:cs="Times New Roman"/>
          <w:bCs/>
          <w:sz w:val="32"/>
          <w:szCs w:val="32"/>
        </w:rPr>
        <w:t>；公务用车购置及运行维护费支出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万元，占</w:t>
      </w:r>
      <w:r>
        <w:rPr>
          <w:rFonts w:ascii="Times New Roman" w:hAnsi="Times New Roman" w:cs="Times New Roman"/>
          <w:bCs/>
          <w:sz w:val="32"/>
          <w:szCs w:val="32"/>
        </w:rPr>
        <w:t>0.00%</w:t>
      </w:r>
      <w:r>
        <w:rPr>
          <w:rFonts w:ascii="Times New Roman" w:hAnsi="Times New Roman" w:eastAsia="方正仿宋_GBK" w:cs="Times New Roman"/>
          <w:bCs/>
          <w:sz w:val="32"/>
          <w:szCs w:val="32"/>
        </w:rPr>
        <w:t>；公务接待费支出0.00万元，占</w:t>
      </w:r>
      <w:r>
        <w:rPr>
          <w:rFonts w:ascii="Times New Roman" w:hAnsi="Times New Roman" w:cs="Times New Roman"/>
          <w:bCs/>
          <w:sz w:val="32"/>
          <w:szCs w:val="32"/>
        </w:rPr>
        <w:t>0.00%。具体情况如下：</w:t>
      </w:r>
    </w:p>
    <w:p>
      <w:pPr>
        <w:spacing w:line="590" w:lineRule="exact"/>
        <w:ind w:firstLine="640" w:firstLineChars="200"/>
        <w:rPr>
          <w:rFonts w:ascii="Times New Roman" w:hAnsi="Times New Roman" w:eastAsia="方正仿宋_GBK" w:cs="Times New Roman"/>
          <w:bCs/>
          <w:sz w:val="32"/>
          <w:szCs w:val="32"/>
        </w:rPr>
      </w:pPr>
      <w:r>
        <w:rPr>
          <w:rFonts w:ascii="Times New Roman" w:hAnsi="Times New Roman" w:cs="Times New Roman"/>
          <w:bCs/>
          <w:sz w:val="32"/>
          <w:szCs w:val="32"/>
        </w:rPr>
        <w:t>1</w:t>
      </w:r>
      <w:r>
        <w:rPr>
          <w:rFonts w:hint="eastAsia" w:ascii="Times New Roman" w:hAnsi="Times New Roman" w:cs="Times New Roman"/>
          <w:bCs/>
          <w:sz w:val="32"/>
          <w:szCs w:val="32"/>
        </w:rPr>
        <w:t>.</w:t>
      </w:r>
      <w:r>
        <w:rPr>
          <w:rFonts w:ascii="Times New Roman" w:hAnsi="Times New Roman" w:eastAsia="方正仿宋_GBK" w:cs="Times New Roman"/>
          <w:bCs/>
          <w:sz w:val="32"/>
          <w:szCs w:val="32"/>
        </w:rPr>
        <w:t>因公出国（境）费支出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万元，共安排因公出国（境）团组</w:t>
      </w:r>
      <w:r>
        <w:rPr>
          <w:rFonts w:ascii="Times New Roman" w:hAnsi="Times New Roman" w:cs="Times New Roman"/>
          <w:bCs/>
          <w:sz w:val="32"/>
          <w:szCs w:val="32"/>
        </w:rPr>
        <w:t>0</w:t>
      </w:r>
      <w:r>
        <w:rPr>
          <w:rFonts w:ascii="Times New Roman" w:hAnsi="Times New Roman" w:eastAsia="方正仿宋_GBK" w:cs="Times New Roman"/>
          <w:bCs/>
          <w:sz w:val="32"/>
          <w:szCs w:val="32"/>
        </w:rPr>
        <w:t>个，累计</w:t>
      </w:r>
      <w:r>
        <w:rPr>
          <w:rFonts w:ascii="Times New Roman" w:hAnsi="Times New Roman" w:cs="Times New Roman"/>
          <w:bCs/>
          <w:sz w:val="32"/>
          <w:szCs w:val="32"/>
        </w:rPr>
        <w:t>0</w:t>
      </w:r>
      <w:r>
        <w:rPr>
          <w:rFonts w:ascii="Times New Roman" w:hAnsi="Times New Roman" w:eastAsia="方正仿宋_GBK" w:cs="Times New Roman"/>
          <w:bCs/>
          <w:sz w:val="32"/>
          <w:szCs w:val="32"/>
        </w:rPr>
        <w:t>人次。</w:t>
      </w:r>
    </w:p>
    <w:p>
      <w:pPr>
        <w:spacing w:line="590" w:lineRule="exact"/>
        <w:ind w:firstLine="640" w:firstLineChars="200"/>
        <w:rPr>
          <w:rFonts w:ascii="Times New Roman" w:hAnsi="Times New Roman" w:eastAsia="方正仿宋_GBK" w:cs="Times New Roman"/>
          <w:bCs/>
          <w:sz w:val="32"/>
          <w:szCs w:val="32"/>
        </w:rPr>
      </w:pPr>
      <w:r>
        <w:rPr>
          <w:rFonts w:ascii="Times New Roman" w:hAnsi="Times New Roman" w:cs="Times New Roman"/>
          <w:bCs/>
          <w:sz w:val="32"/>
          <w:szCs w:val="32"/>
        </w:rPr>
        <w:t>2</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公务用车购置及运行维护费支出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万元。其中：</w:t>
      </w:r>
    </w:p>
    <w:p>
      <w:pPr>
        <w:spacing w:line="59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公务用车购置支出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万元，购置车辆</w:t>
      </w:r>
      <w:r>
        <w:rPr>
          <w:rFonts w:ascii="Times New Roman" w:hAnsi="Times New Roman" w:cs="Times New Roman"/>
          <w:bCs/>
          <w:sz w:val="32"/>
          <w:szCs w:val="32"/>
        </w:rPr>
        <w:t>0</w:t>
      </w:r>
      <w:r>
        <w:rPr>
          <w:rFonts w:ascii="Times New Roman" w:hAnsi="Times New Roman" w:eastAsia="方正仿宋_GBK" w:cs="Times New Roman"/>
          <w:bCs/>
          <w:sz w:val="32"/>
          <w:szCs w:val="32"/>
        </w:rPr>
        <w:t>辆。</w:t>
      </w:r>
    </w:p>
    <w:p>
      <w:pPr>
        <w:spacing w:line="59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公务用车运行维护支出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万元，开支一般公共预算财政拨款的公务用车保有量为</w:t>
      </w:r>
      <w:r>
        <w:rPr>
          <w:rFonts w:ascii="Times New Roman" w:hAnsi="Times New Roman" w:cs="Times New Roman"/>
          <w:bCs/>
          <w:sz w:val="32"/>
          <w:szCs w:val="32"/>
        </w:rPr>
        <w:t>0</w:t>
      </w:r>
      <w:r>
        <w:rPr>
          <w:rFonts w:ascii="Times New Roman" w:hAnsi="Times New Roman" w:eastAsia="方正仿宋_GBK" w:cs="Times New Roman"/>
          <w:bCs/>
          <w:sz w:val="32"/>
          <w:szCs w:val="32"/>
        </w:rPr>
        <w:t>辆。</w:t>
      </w:r>
    </w:p>
    <w:p>
      <w:pPr>
        <w:spacing w:line="590" w:lineRule="exact"/>
        <w:ind w:firstLine="640" w:firstLineChars="200"/>
        <w:rPr>
          <w:rFonts w:ascii="Times New Roman" w:hAnsi="Times New Roman" w:eastAsia="方正仿宋_GBK" w:cs="Times New Roman"/>
          <w:bCs/>
          <w:sz w:val="32"/>
          <w:szCs w:val="32"/>
        </w:rPr>
      </w:pPr>
      <w:r>
        <w:rPr>
          <w:rFonts w:ascii="Times New Roman" w:hAnsi="Times New Roman" w:cs="Times New Roman"/>
          <w:bCs/>
          <w:sz w:val="32"/>
          <w:szCs w:val="32"/>
        </w:rPr>
        <w:t>3</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公务接待费支出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万元。其中：</w:t>
      </w:r>
    </w:p>
    <w:p>
      <w:pPr>
        <w:spacing w:line="59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国内接待费支出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万元（其中：外事接待费支出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万元），共安排国内公务接待</w:t>
      </w:r>
      <w:r>
        <w:rPr>
          <w:rFonts w:ascii="Times New Roman" w:hAnsi="Times New Roman" w:cs="Times New Roman"/>
          <w:bCs/>
          <w:sz w:val="32"/>
          <w:szCs w:val="32"/>
        </w:rPr>
        <w:t>0</w:t>
      </w:r>
      <w:r>
        <w:rPr>
          <w:rFonts w:ascii="Times New Roman" w:hAnsi="Times New Roman" w:eastAsia="方正仿宋_GBK" w:cs="Times New Roman"/>
          <w:bCs/>
          <w:sz w:val="32"/>
          <w:szCs w:val="32"/>
        </w:rPr>
        <w:t>批次（其中：外事接待</w:t>
      </w:r>
      <w:r>
        <w:rPr>
          <w:rFonts w:ascii="Times New Roman" w:hAnsi="Times New Roman" w:cs="Times New Roman"/>
          <w:bCs/>
          <w:sz w:val="32"/>
          <w:szCs w:val="32"/>
        </w:rPr>
        <w:t>0</w:t>
      </w:r>
      <w:r>
        <w:rPr>
          <w:rFonts w:ascii="Times New Roman" w:hAnsi="Times New Roman" w:eastAsia="方正仿宋_GBK" w:cs="Times New Roman"/>
          <w:bCs/>
          <w:sz w:val="32"/>
          <w:szCs w:val="32"/>
        </w:rPr>
        <w:t>批次），接待人次</w:t>
      </w:r>
      <w:r>
        <w:rPr>
          <w:rFonts w:ascii="Times New Roman" w:hAnsi="Times New Roman" w:cs="Times New Roman"/>
          <w:bCs/>
          <w:sz w:val="32"/>
          <w:szCs w:val="32"/>
        </w:rPr>
        <w:t>0</w:t>
      </w:r>
      <w:r>
        <w:rPr>
          <w:rFonts w:ascii="Times New Roman" w:hAnsi="Times New Roman" w:eastAsia="方正仿宋_GBK" w:cs="Times New Roman"/>
          <w:bCs/>
          <w:sz w:val="32"/>
          <w:szCs w:val="32"/>
        </w:rPr>
        <w:t>人（其中：外事接待人次</w:t>
      </w:r>
      <w:r>
        <w:rPr>
          <w:rFonts w:ascii="Times New Roman" w:hAnsi="Times New Roman" w:cs="Times New Roman"/>
          <w:bCs/>
          <w:sz w:val="32"/>
          <w:szCs w:val="32"/>
        </w:rPr>
        <w:t>0</w:t>
      </w:r>
      <w:r>
        <w:rPr>
          <w:rFonts w:ascii="Times New Roman" w:hAnsi="Times New Roman" w:eastAsia="方正仿宋_GBK" w:cs="Times New Roman"/>
          <w:bCs/>
          <w:sz w:val="32"/>
          <w:szCs w:val="32"/>
        </w:rPr>
        <w:t>人）。</w:t>
      </w:r>
    </w:p>
    <w:p>
      <w:pPr>
        <w:spacing w:line="59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国（境）外接待费支出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万元，共安排国（境）外公务接待</w:t>
      </w:r>
      <w:r>
        <w:rPr>
          <w:rFonts w:ascii="Times New Roman" w:hAnsi="Times New Roman" w:cs="Times New Roman"/>
          <w:bCs/>
          <w:sz w:val="32"/>
          <w:szCs w:val="32"/>
        </w:rPr>
        <w:t>0</w:t>
      </w:r>
      <w:r>
        <w:rPr>
          <w:rFonts w:ascii="Times New Roman" w:hAnsi="Times New Roman" w:eastAsia="方正仿宋_GBK" w:cs="Times New Roman"/>
          <w:bCs/>
          <w:sz w:val="32"/>
          <w:szCs w:val="32"/>
        </w:rPr>
        <w:t>批次，接待人次</w:t>
      </w:r>
      <w:r>
        <w:rPr>
          <w:rFonts w:ascii="Times New Roman" w:hAnsi="Times New Roman" w:cs="Times New Roman"/>
          <w:bCs/>
          <w:sz w:val="32"/>
          <w:szCs w:val="32"/>
        </w:rPr>
        <w:t>0</w:t>
      </w:r>
      <w:r>
        <w:rPr>
          <w:rFonts w:ascii="Times New Roman" w:hAnsi="Times New Roman" w:eastAsia="方正仿宋_GBK" w:cs="Times New Roman"/>
          <w:bCs/>
          <w:sz w:val="32"/>
          <w:szCs w:val="32"/>
        </w:rPr>
        <w:t>人。</w:t>
      </w:r>
    </w:p>
    <w:p>
      <w:pPr>
        <w:spacing w:line="590" w:lineRule="exact"/>
        <w:jc w:val="center"/>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第四部分  其他重要事项及相关口径情况说明</w:t>
      </w:r>
    </w:p>
    <w:p>
      <w:pPr>
        <w:spacing w:line="590" w:lineRule="exact"/>
        <w:ind w:firstLine="640" w:firstLineChars="200"/>
        <w:rPr>
          <w:rFonts w:ascii="Times New Roman" w:hAnsi="Times New Roman" w:eastAsia="方正仿宋_GBK" w:cs="Times New Roman"/>
          <w:bCs/>
          <w:sz w:val="32"/>
          <w:szCs w:val="32"/>
        </w:rPr>
      </w:pPr>
      <w:r>
        <w:rPr>
          <w:rFonts w:ascii="Times New Roman" w:hAnsi="Times New Roman" w:eastAsia="方正黑体_GBK" w:cs="Times New Roman"/>
          <w:bCs/>
          <w:sz w:val="32"/>
          <w:szCs w:val="32"/>
        </w:rPr>
        <w:t>一、机关运行经费支出情况</w:t>
      </w:r>
    </w:p>
    <w:p>
      <w:pPr>
        <w:spacing w:line="59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元江哈尼族彝族傣族自治县曼来镇中心卫生院</w:t>
      </w:r>
      <w:r>
        <w:rPr>
          <w:rFonts w:ascii="Times New Roman" w:hAnsi="Times New Roman" w:cs="Times New Roman"/>
          <w:bCs/>
          <w:sz w:val="32"/>
          <w:szCs w:val="32"/>
        </w:rPr>
        <w:t>2021</w:t>
      </w:r>
      <w:r>
        <w:rPr>
          <w:rFonts w:ascii="Times New Roman" w:hAnsi="Times New Roman" w:eastAsia="方正仿宋_GBK" w:cs="Times New Roman"/>
          <w:bCs/>
          <w:sz w:val="32"/>
          <w:szCs w:val="32"/>
        </w:rPr>
        <w:t>年机关运行经费支出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w:t>
      </w:r>
      <w:r>
        <w:rPr>
          <w:rFonts w:ascii="Times New Roman" w:hAnsi="Times New Roman" w:cs="Times New Roman"/>
          <w:bCs/>
          <w:sz w:val="32"/>
          <w:szCs w:val="32"/>
        </w:rPr>
        <w:t>，</w:t>
      </w:r>
      <w:r>
        <w:rPr>
          <w:rFonts w:ascii="Times New Roman" w:hAnsi="Times New Roman" w:eastAsia="方正仿宋_GBK" w:cs="Times New Roman"/>
          <w:bCs/>
          <w:sz w:val="32"/>
          <w:szCs w:val="32"/>
        </w:rPr>
        <w:t>原因是元江哈尼族彝族傣族自治县曼来镇中心卫生院属财政补助事业单位，与上年对比无变化。</w:t>
      </w:r>
    </w:p>
    <w:p>
      <w:pPr>
        <w:spacing w:line="59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二、国有资产占用情况</w:t>
      </w:r>
    </w:p>
    <w:p>
      <w:pPr>
        <w:spacing w:line="59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截至</w:t>
      </w:r>
      <w:r>
        <w:rPr>
          <w:rFonts w:ascii="Times New Roman" w:hAnsi="Times New Roman" w:cs="Times New Roman"/>
          <w:bCs/>
          <w:sz w:val="32"/>
          <w:szCs w:val="32"/>
        </w:rPr>
        <w:t>2021</w:t>
      </w:r>
      <w:r>
        <w:rPr>
          <w:rFonts w:ascii="Times New Roman" w:hAnsi="Times New Roman" w:eastAsia="方正仿宋_GBK" w:cs="Times New Roman"/>
          <w:bCs/>
          <w:sz w:val="32"/>
          <w:szCs w:val="32"/>
        </w:rPr>
        <w:t>年</w:t>
      </w:r>
      <w:r>
        <w:rPr>
          <w:rFonts w:ascii="Times New Roman" w:hAnsi="Times New Roman" w:cs="Times New Roman"/>
          <w:bCs/>
          <w:sz w:val="32"/>
          <w:szCs w:val="32"/>
        </w:rPr>
        <w:t>12</w:t>
      </w:r>
      <w:r>
        <w:rPr>
          <w:rFonts w:ascii="Times New Roman" w:hAnsi="Times New Roman" w:eastAsia="方正仿宋_GBK" w:cs="Times New Roman"/>
          <w:bCs/>
          <w:sz w:val="32"/>
          <w:szCs w:val="32"/>
        </w:rPr>
        <w:t>月</w:t>
      </w:r>
      <w:r>
        <w:rPr>
          <w:rFonts w:ascii="Times New Roman" w:hAnsi="Times New Roman" w:cs="Times New Roman"/>
          <w:bCs/>
          <w:sz w:val="32"/>
          <w:szCs w:val="32"/>
        </w:rPr>
        <w:t>31</w:t>
      </w:r>
      <w:r>
        <w:rPr>
          <w:rFonts w:ascii="Times New Roman" w:hAnsi="Times New Roman" w:eastAsia="方正仿宋_GBK" w:cs="Times New Roman"/>
          <w:bCs/>
          <w:sz w:val="32"/>
          <w:szCs w:val="32"/>
        </w:rPr>
        <w:t>日，元江哈尼族彝族傣族自治县曼来镇中心卫生院资产总额</w:t>
      </w:r>
      <w:r>
        <w:rPr>
          <w:rFonts w:ascii="Times New Roman" w:hAnsi="Times New Roman" w:cs="Times New Roman"/>
          <w:bCs/>
          <w:sz w:val="32"/>
          <w:szCs w:val="32"/>
        </w:rPr>
        <w:t>392.01</w:t>
      </w:r>
      <w:r>
        <w:rPr>
          <w:rFonts w:ascii="Times New Roman" w:hAnsi="Times New Roman" w:eastAsia="方正仿宋_GBK" w:cs="Times New Roman"/>
          <w:bCs/>
          <w:sz w:val="32"/>
          <w:szCs w:val="32"/>
        </w:rPr>
        <w:t>万元，其中，流动资产</w:t>
      </w:r>
      <w:r>
        <w:rPr>
          <w:rFonts w:ascii="Times New Roman" w:hAnsi="Times New Roman" w:cs="Times New Roman"/>
          <w:bCs/>
          <w:sz w:val="32"/>
          <w:szCs w:val="32"/>
        </w:rPr>
        <w:t>88.46</w:t>
      </w:r>
      <w:r>
        <w:rPr>
          <w:rFonts w:ascii="Times New Roman" w:hAnsi="Times New Roman" w:eastAsia="方正仿宋_GBK" w:cs="Times New Roman"/>
          <w:bCs/>
          <w:sz w:val="32"/>
          <w:szCs w:val="32"/>
        </w:rPr>
        <w:t>万元，固定资产303.55万元，对外投资及有价证券0.00万元，在建工程0.00万元，无形资产0.00万元，其他资产</w:t>
      </w:r>
      <w:r>
        <w:rPr>
          <w:rFonts w:ascii="Times New Roman" w:hAnsi="Times New Roman" w:cs="Times New Roman"/>
          <w:bCs/>
          <w:sz w:val="32"/>
          <w:szCs w:val="32"/>
        </w:rPr>
        <w:t>0.00</w:t>
      </w:r>
      <w:r>
        <w:rPr>
          <w:rFonts w:ascii="Times New Roman" w:hAnsi="Times New Roman" w:eastAsia="方正仿宋_GBK" w:cs="Times New Roman"/>
          <w:bCs/>
          <w:sz w:val="32"/>
          <w:szCs w:val="32"/>
        </w:rPr>
        <w:t>万元（具体内容详见附表）。与上年资产总额411.82万元相比，本年资产总额减少19.81万元，其中固定资产增加22.63万元。处置房屋建筑物0.00平方米，账面原值</w:t>
      </w:r>
      <w:r>
        <w:rPr>
          <w:rFonts w:ascii="Times New Roman" w:hAnsi="Times New Roman" w:cs="Times New Roman"/>
          <w:bCs/>
          <w:sz w:val="32"/>
          <w:szCs w:val="32"/>
        </w:rPr>
        <w:t>0.00</w:t>
      </w:r>
      <w:r>
        <w:rPr>
          <w:rFonts w:ascii="Times New Roman" w:hAnsi="Times New Roman" w:eastAsia="方正仿宋_GBK" w:cs="Times New Roman"/>
          <w:bCs/>
          <w:sz w:val="32"/>
          <w:szCs w:val="32"/>
        </w:rPr>
        <w:t>万元；处置车辆0辆，账面原值0.00万元；报废报损资产23项，账面原值</w:t>
      </w:r>
      <w:r>
        <w:rPr>
          <w:rFonts w:ascii="Times New Roman" w:hAnsi="Times New Roman" w:cs="Times New Roman"/>
          <w:bCs/>
          <w:sz w:val="32"/>
          <w:szCs w:val="32"/>
        </w:rPr>
        <w:t>14.84</w:t>
      </w:r>
      <w:r>
        <w:rPr>
          <w:rFonts w:ascii="Times New Roman" w:hAnsi="Times New Roman" w:eastAsia="方正仿宋_GBK" w:cs="Times New Roman"/>
          <w:bCs/>
          <w:sz w:val="32"/>
          <w:szCs w:val="32"/>
        </w:rPr>
        <w:t>万元，实现资产处置收入0.05万元；出租房屋0.00平方米，账面原值</w:t>
      </w:r>
      <w:r>
        <w:rPr>
          <w:rFonts w:ascii="Times New Roman" w:hAnsi="Times New Roman" w:cs="Times New Roman"/>
          <w:bCs/>
          <w:sz w:val="32"/>
          <w:szCs w:val="32"/>
        </w:rPr>
        <w:t>0.00</w:t>
      </w:r>
      <w:r>
        <w:rPr>
          <w:rFonts w:ascii="Times New Roman" w:hAnsi="Times New Roman" w:eastAsia="方正仿宋_GBK" w:cs="Times New Roman"/>
          <w:bCs/>
          <w:sz w:val="32"/>
          <w:szCs w:val="32"/>
        </w:rPr>
        <w:t>万元，实资产使用收入0.00万元。</w:t>
      </w:r>
    </w:p>
    <w:p>
      <w:pPr>
        <w:pStyle w:val="2"/>
        <w:spacing w:before="93"/>
      </w:pPr>
    </w:p>
    <w:p>
      <w:pPr>
        <w:pStyle w:val="2"/>
        <w:spacing w:before="93"/>
      </w:pPr>
    </w:p>
    <w:p>
      <w:pPr>
        <w:pStyle w:val="2"/>
        <w:spacing w:before="93"/>
      </w:pPr>
    </w:p>
    <w:tbl>
      <w:tblPr>
        <w:tblStyle w:val="7"/>
        <w:tblW w:w="0" w:type="auto"/>
        <w:tblInd w:w="0" w:type="dxa"/>
        <w:tblLayout w:type="autofit"/>
        <w:tblCellMar>
          <w:top w:w="15" w:type="dxa"/>
          <w:left w:w="15" w:type="dxa"/>
          <w:bottom w:w="15" w:type="dxa"/>
          <w:right w:w="15" w:type="dxa"/>
        </w:tblCellMar>
      </w:tblPr>
      <w:tblGrid>
        <w:gridCol w:w="517"/>
        <w:gridCol w:w="342"/>
        <w:gridCol w:w="837"/>
        <w:gridCol w:w="1066"/>
        <w:gridCol w:w="797"/>
        <w:gridCol w:w="797"/>
        <w:gridCol w:w="687"/>
        <w:gridCol w:w="642"/>
        <w:gridCol w:w="687"/>
        <w:gridCol w:w="654"/>
        <w:gridCol w:w="684"/>
        <w:gridCol w:w="614"/>
        <w:gridCol w:w="713"/>
      </w:tblGrid>
      <w:tr>
        <w:tblPrEx>
          <w:tblCellMar>
            <w:top w:w="15" w:type="dxa"/>
            <w:left w:w="15" w:type="dxa"/>
            <w:bottom w:w="15" w:type="dxa"/>
            <w:right w:w="15" w:type="dxa"/>
          </w:tblCellMar>
        </w:tblPrEx>
        <w:trPr>
          <w:trHeight w:val="216" w:hRule="atLeast"/>
        </w:trPr>
        <w:tc>
          <w:tcPr>
            <w:tcW w:w="8498" w:type="dxa"/>
            <w:gridSpan w:val="13"/>
            <w:tcBorders>
              <w:top w:val="single" w:color="000000" w:sz="4" w:space="0"/>
              <w:left w:val="single" w:color="000000" w:sz="4" w:space="0"/>
              <w:bottom w:val="single" w:color="000000" w:sz="4" w:space="0"/>
              <w:right w:val="single" w:color="000000" w:sz="4" w:space="0"/>
            </w:tcBorders>
            <w:shd w:val="clear" w:color="auto" w:fill="auto"/>
            <w:tcMar>
              <w:top w:w="12" w:type="dxa"/>
              <w:left w:w="96" w:type="dxa"/>
              <w:bottom w:w="12" w:type="dxa"/>
              <w:right w:w="96" w:type="dxa"/>
            </w:tcMar>
            <w:vAlign w:val="center"/>
          </w:tcPr>
          <w:p>
            <w:pPr>
              <w:pStyle w:val="6"/>
              <w:spacing w:before="93" w:beforeAutospacing="0" w:afterAutospacing="0" w:line="420" w:lineRule="exact"/>
              <w:jc w:val="center"/>
            </w:pPr>
            <w:r>
              <w:rPr>
                <w:rStyle w:val="9"/>
                <w:rFonts w:ascii="仿宋_GB2312" w:hAnsi="sans-serif" w:eastAsia="仿宋_GB2312" w:cs="仿宋_GB2312"/>
                <w:color w:val="000000"/>
                <w:shd w:val="clear" w:color="auto" w:fill="FFFFFF"/>
              </w:rPr>
              <w:t>国有资产占有使用情况表</w:t>
            </w:r>
          </w:p>
        </w:tc>
      </w:tr>
      <w:tr>
        <w:tblPrEx>
          <w:tblCellMar>
            <w:top w:w="15" w:type="dxa"/>
            <w:left w:w="15" w:type="dxa"/>
            <w:bottom w:w="15" w:type="dxa"/>
            <w:right w:w="15" w:type="dxa"/>
          </w:tblCellMar>
        </w:tblPrEx>
        <w:trPr>
          <w:trHeight w:val="216" w:hRule="atLeast"/>
        </w:trPr>
        <w:tc>
          <w:tcPr>
            <w:tcW w:w="8498" w:type="dxa"/>
            <w:gridSpan w:val="13"/>
            <w:tcBorders>
              <w:top w:val="single" w:color="auto" w:sz="4" w:space="0"/>
              <w:left w:val="single" w:color="000000" w:sz="4" w:space="0"/>
              <w:bottom w:val="single" w:color="000000" w:sz="4" w:space="0"/>
              <w:right w:val="single" w:color="000000" w:sz="4" w:space="0"/>
            </w:tcBorders>
            <w:shd w:val="clear" w:color="auto" w:fill="auto"/>
            <w:tcMar>
              <w:top w:w="12" w:type="dxa"/>
              <w:left w:w="96" w:type="dxa"/>
              <w:bottom w:w="12" w:type="dxa"/>
              <w:right w:w="96" w:type="dxa"/>
            </w:tcMar>
            <w:vAlign w:val="center"/>
          </w:tcPr>
          <w:p>
            <w:pPr>
              <w:pStyle w:val="6"/>
              <w:spacing w:before="72" w:beforeAutospacing="0" w:afterAutospacing="0"/>
              <w:ind w:firstLine="516"/>
              <w:jc w:val="right"/>
            </w:pPr>
            <w:r>
              <w:rPr>
                <w:rFonts w:hint="eastAsia"/>
                <w:color w:val="000000"/>
                <w:sz w:val="19"/>
                <w:szCs w:val="19"/>
              </w:rPr>
              <w:t>单位：万元</w:t>
            </w:r>
          </w:p>
        </w:tc>
      </w:tr>
      <w:tr>
        <w:tblPrEx>
          <w:tblCellMar>
            <w:top w:w="15" w:type="dxa"/>
            <w:left w:w="15" w:type="dxa"/>
            <w:bottom w:w="15" w:type="dxa"/>
            <w:right w:w="15" w:type="dxa"/>
          </w:tblCellMar>
        </w:tblPrEx>
        <w:trPr>
          <w:trHeight w:val="336" w:hRule="atLeast"/>
        </w:trPr>
        <w:tc>
          <w:tcPr>
            <w:tcW w:w="532" w:type="dxa"/>
            <w:vMerge w:val="restart"/>
            <w:tcBorders>
              <w:top w:val="single" w:color="auto" w:sz="4" w:space="0"/>
              <w:left w:val="single" w:color="000000" w:sz="4" w:space="0"/>
              <w:bottom w:val="single" w:color="000000" w:sz="4" w:space="0"/>
              <w:right w:val="single" w:color="000000" w:sz="4" w:space="0"/>
            </w:tcBorders>
            <w:shd w:val="clear" w:color="auto" w:fill="auto"/>
            <w:tcMar>
              <w:top w:w="12" w:type="dxa"/>
              <w:left w:w="96" w:type="dxa"/>
              <w:bottom w:w="12" w:type="dxa"/>
              <w:right w:w="96" w:type="dxa"/>
            </w:tcMar>
            <w:vAlign w:val="center"/>
          </w:tcPr>
          <w:p>
            <w:pPr>
              <w:pStyle w:val="6"/>
              <w:spacing w:before="72" w:beforeAutospacing="0" w:afterAutospacing="0"/>
              <w:jc w:val="center"/>
            </w:pPr>
            <w:r>
              <w:rPr>
                <w:rFonts w:hint="eastAsia"/>
                <w:color w:val="000000"/>
                <w:sz w:val="15"/>
                <w:szCs w:val="15"/>
              </w:rPr>
              <w:t>项目</w:t>
            </w:r>
          </w:p>
        </w:tc>
        <w:tc>
          <w:tcPr>
            <w:tcW w:w="342" w:type="dxa"/>
            <w:vMerge w:val="restart"/>
            <w:tcBorders>
              <w:top w:val="single" w:color="000000" w:sz="4" w:space="0"/>
              <w:left w:val="single" w:color="auto" w:sz="4" w:space="0"/>
              <w:bottom w:val="single" w:color="000000" w:sz="4" w:space="0"/>
              <w:right w:val="single" w:color="000000" w:sz="4" w:space="0"/>
            </w:tcBorders>
            <w:shd w:val="clear" w:color="auto" w:fill="auto"/>
            <w:tcMar>
              <w:top w:w="12" w:type="dxa"/>
              <w:left w:w="96" w:type="dxa"/>
              <w:bottom w:w="12" w:type="dxa"/>
              <w:right w:w="96" w:type="dxa"/>
            </w:tcMar>
            <w:vAlign w:val="center"/>
          </w:tcPr>
          <w:p>
            <w:pPr>
              <w:pStyle w:val="6"/>
              <w:spacing w:before="72" w:beforeAutospacing="0" w:afterAutospacing="0"/>
              <w:jc w:val="center"/>
            </w:pPr>
            <w:r>
              <w:rPr>
                <w:rFonts w:hint="eastAsia"/>
                <w:color w:val="000000"/>
                <w:sz w:val="15"/>
                <w:szCs w:val="15"/>
              </w:rPr>
              <w:t>行次</w:t>
            </w:r>
          </w:p>
        </w:tc>
        <w:tc>
          <w:tcPr>
            <w:tcW w:w="841" w:type="dxa"/>
            <w:vMerge w:val="restart"/>
            <w:tcBorders>
              <w:top w:val="single" w:color="000000" w:sz="4" w:space="0"/>
              <w:left w:val="single" w:color="auto" w:sz="4" w:space="0"/>
              <w:bottom w:val="single" w:color="000000" w:sz="4" w:space="0"/>
              <w:right w:val="single" w:color="000000" w:sz="4" w:space="0"/>
            </w:tcBorders>
            <w:shd w:val="clear" w:color="auto" w:fill="auto"/>
            <w:tcMar>
              <w:top w:w="12" w:type="dxa"/>
              <w:left w:w="96" w:type="dxa"/>
              <w:bottom w:w="12" w:type="dxa"/>
              <w:right w:w="96" w:type="dxa"/>
            </w:tcMar>
            <w:vAlign w:val="center"/>
          </w:tcPr>
          <w:p>
            <w:pPr>
              <w:pStyle w:val="6"/>
              <w:spacing w:before="72" w:beforeAutospacing="0" w:afterAutospacing="0" w:line="192" w:lineRule="atLeast"/>
              <w:jc w:val="center"/>
            </w:pPr>
            <w:r>
              <w:rPr>
                <w:rFonts w:hint="eastAsia"/>
                <w:color w:val="000000"/>
                <w:sz w:val="15"/>
                <w:szCs w:val="15"/>
              </w:rPr>
              <w:t>资产总额</w:t>
            </w:r>
          </w:p>
        </w:tc>
        <w:tc>
          <w:tcPr>
            <w:tcW w:w="1100" w:type="dxa"/>
            <w:vMerge w:val="restart"/>
            <w:tcBorders>
              <w:top w:val="single" w:color="000000" w:sz="4" w:space="0"/>
              <w:left w:val="single" w:color="auto" w:sz="4" w:space="0"/>
              <w:bottom w:val="single" w:color="000000" w:sz="4" w:space="0"/>
              <w:right w:val="single" w:color="000000" w:sz="4" w:space="0"/>
            </w:tcBorders>
            <w:shd w:val="clear" w:color="auto" w:fill="auto"/>
            <w:tcMar>
              <w:top w:w="12" w:type="dxa"/>
              <w:left w:w="96" w:type="dxa"/>
              <w:bottom w:w="12" w:type="dxa"/>
              <w:right w:w="96" w:type="dxa"/>
            </w:tcMar>
            <w:vAlign w:val="center"/>
          </w:tcPr>
          <w:p>
            <w:pPr>
              <w:pStyle w:val="6"/>
              <w:spacing w:before="72" w:beforeAutospacing="0" w:afterAutospacing="0" w:line="192" w:lineRule="atLeast"/>
              <w:jc w:val="center"/>
            </w:pPr>
            <w:r>
              <w:rPr>
                <w:rFonts w:hint="eastAsia"/>
                <w:color w:val="000000"/>
                <w:sz w:val="15"/>
                <w:szCs w:val="15"/>
              </w:rPr>
              <w:t>流动资产</w:t>
            </w:r>
          </w:p>
        </w:tc>
        <w:tc>
          <w:tcPr>
            <w:tcW w:w="2987" w:type="dxa"/>
            <w:gridSpan w:val="5"/>
            <w:tcBorders>
              <w:top w:val="single" w:color="000000" w:sz="4" w:space="0"/>
              <w:left w:val="single" w:color="auto" w:sz="4" w:space="0"/>
              <w:bottom w:val="single" w:color="000000" w:sz="4" w:space="0"/>
              <w:right w:val="single" w:color="000000" w:sz="4" w:space="0"/>
            </w:tcBorders>
            <w:shd w:val="clear" w:color="auto" w:fill="auto"/>
            <w:tcMar>
              <w:top w:w="12" w:type="dxa"/>
              <w:left w:w="96" w:type="dxa"/>
              <w:bottom w:w="12" w:type="dxa"/>
              <w:right w:w="96" w:type="dxa"/>
            </w:tcMar>
            <w:vAlign w:val="center"/>
          </w:tcPr>
          <w:p>
            <w:pPr>
              <w:pStyle w:val="6"/>
              <w:spacing w:before="72" w:beforeAutospacing="0" w:afterAutospacing="0"/>
              <w:jc w:val="center"/>
            </w:pPr>
            <w:r>
              <w:rPr>
                <w:rFonts w:hint="eastAsia"/>
                <w:color w:val="000000"/>
                <w:sz w:val="15"/>
                <w:szCs w:val="15"/>
              </w:rPr>
              <w:t>固定资产</w:t>
            </w:r>
          </w:p>
        </w:tc>
        <w:tc>
          <w:tcPr>
            <w:tcW w:w="661" w:type="dxa"/>
            <w:vMerge w:val="restart"/>
            <w:tcBorders>
              <w:top w:val="single" w:color="auto" w:sz="4" w:space="0"/>
              <w:left w:val="single" w:color="auto" w:sz="4" w:space="0"/>
              <w:bottom w:val="single" w:color="000000" w:sz="4" w:space="0"/>
              <w:right w:val="single" w:color="000000" w:sz="4" w:space="0"/>
            </w:tcBorders>
            <w:shd w:val="clear" w:color="auto" w:fill="auto"/>
            <w:tcMar>
              <w:top w:w="0" w:type="dxa"/>
              <w:left w:w="96" w:type="dxa"/>
              <w:bottom w:w="12" w:type="dxa"/>
              <w:right w:w="96" w:type="dxa"/>
            </w:tcMar>
            <w:vAlign w:val="center"/>
          </w:tcPr>
          <w:p>
            <w:pPr>
              <w:pStyle w:val="6"/>
              <w:spacing w:before="72" w:beforeAutospacing="0" w:afterAutospacing="0" w:line="192" w:lineRule="atLeast"/>
              <w:jc w:val="center"/>
            </w:pPr>
            <w:r>
              <w:rPr>
                <w:rFonts w:hint="eastAsia"/>
                <w:color w:val="000000"/>
                <w:sz w:val="15"/>
                <w:szCs w:val="15"/>
              </w:rPr>
              <w:t>对外投资/有价证券</w:t>
            </w:r>
          </w:p>
        </w:tc>
        <w:tc>
          <w:tcPr>
            <w:tcW w:w="693" w:type="dxa"/>
            <w:vMerge w:val="restart"/>
            <w:tcBorders>
              <w:top w:val="single" w:color="auto" w:sz="4" w:space="0"/>
              <w:left w:val="single" w:color="auto" w:sz="4" w:space="0"/>
              <w:bottom w:val="single" w:color="000000" w:sz="4" w:space="0"/>
              <w:right w:val="single" w:color="000000" w:sz="4" w:space="0"/>
            </w:tcBorders>
            <w:shd w:val="clear" w:color="auto" w:fill="auto"/>
            <w:tcMar>
              <w:top w:w="12" w:type="dxa"/>
              <w:left w:w="96" w:type="dxa"/>
              <w:bottom w:w="12" w:type="dxa"/>
              <w:right w:w="96" w:type="dxa"/>
            </w:tcMar>
            <w:vAlign w:val="center"/>
          </w:tcPr>
          <w:p>
            <w:pPr>
              <w:pStyle w:val="6"/>
              <w:spacing w:before="72" w:beforeAutospacing="0" w:afterAutospacing="0" w:line="192" w:lineRule="atLeast"/>
              <w:jc w:val="center"/>
            </w:pPr>
            <w:r>
              <w:rPr>
                <w:rFonts w:hint="eastAsia"/>
                <w:color w:val="000000"/>
                <w:sz w:val="15"/>
                <w:szCs w:val="15"/>
              </w:rPr>
              <w:t>在建工程</w:t>
            </w:r>
          </w:p>
        </w:tc>
        <w:tc>
          <w:tcPr>
            <w:tcW w:w="617" w:type="dxa"/>
            <w:vMerge w:val="restart"/>
            <w:tcBorders>
              <w:top w:val="single" w:color="auto" w:sz="4" w:space="0"/>
              <w:left w:val="single" w:color="auto" w:sz="4" w:space="0"/>
              <w:bottom w:val="single" w:color="000000" w:sz="4" w:space="0"/>
              <w:right w:val="single" w:color="000000" w:sz="4" w:space="0"/>
            </w:tcBorders>
            <w:shd w:val="clear" w:color="auto" w:fill="auto"/>
            <w:tcMar>
              <w:top w:w="12" w:type="dxa"/>
              <w:left w:w="96" w:type="dxa"/>
              <w:bottom w:w="12" w:type="dxa"/>
              <w:right w:w="96" w:type="dxa"/>
            </w:tcMar>
            <w:vAlign w:val="center"/>
          </w:tcPr>
          <w:p>
            <w:pPr>
              <w:pStyle w:val="6"/>
              <w:spacing w:before="72" w:beforeAutospacing="0" w:afterAutospacing="0" w:line="192" w:lineRule="atLeast"/>
              <w:jc w:val="center"/>
            </w:pPr>
            <w:r>
              <w:rPr>
                <w:rFonts w:hint="eastAsia"/>
                <w:color w:val="000000"/>
                <w:sz w:val="15"/>
                <w:szCs w:val="15"/>
              </w:rPr>
              <w:t>无形资产</w:t>
            </w:r>
          </w:p>
        </w:tc>
        <w:tc>
          <w:tcPr>
            <w:tcW w:w="725" w:type="dxa"/>
            <w:vMerge w:val="restart"/>
            <w:tcBorders>
              <w:top w:val="single" w:color="auto" w:sz="4" w:space="0"/>
              <w:left w:val="single" w:color="auto" w:sz="4" w:space="0"/>
              <w:bottom w:val="single" w:color="000000" w:sz="4" w:space="0"/>
              <w:right w:val="single" w:color="000000" w:sz="4" w:space="0"/>
            </w:tcBorders>
            <w:shd w:val="clear" w:color="auto" w:fill="auto"/>
            <w:tcMar>
              <w:top w:w="12" w:type="dxa"/>
              <w:left w:w="96" w:type="dxa"/>
              <w:bottom w:w="12" w:type="dxa"/>
              <w:right w:w="96" w:type="dxa"/>
            </w:tcMar>
            <w:vAlign w:val="center"/>
          </w:tcPr>
          <w:p>
            <w:pPr>
              <w:pStyle w:val="6"/>
              <w:wordWrap w:val="0"/>
              <w:spacing w:before="72" w:beforeAutospacing="0" w:afterAutospacing="0" w:line="192" w:lineRule="atLeast"/>
              <w:jc w:val="center"/>
            </w:pPr>
            <w:r>
              <w:rPr>
                <w:rFonts w:hint="eastAsia"/>
                <w:color w:val="000000"/>
                <w:sz w:val="15"/>
                <w:szCs w:val="15"/>
              </w:rPr>
              <w:t>其他资产</w:t>
            </w:r>
          </w:p>
        </w:tc>
      </w:tr>
      <w:tr>
        <w:tblPrEx>
          <w:tblCellMar>
            <w:top w:w="15" w:type="dxa"/>
            <w:left w:w="15" w:type="dxa"/>
            <w:bottom w:w="15" w:type="dxa"/>
            <w:right w:w="15" w:type="dxa"/>
          </w:tblCellMar>
        </w:tblPrEx>
        <w:trPr>
          <w:trHeight w:val="624" w:hRule="atLeast"/>
        </w:trPr>
        <w:tc>
          <w:tcPr>
            <w:tcW w:w="532" w:type="dxa"/>
            <w:vMerge w:val="continue"/>
            <w:tcBorders>
              <w:top w:val="single" w:color="auto" w:sz="4" w:space="0"/>
              <w:left w:val="single" w:color="000000" w:sz="4" w:space="0"/>
              <w:bottom w:val="single" w:color="000000" w:sz="4" w:space="0"/>
              <w:right w:val="single" w:color="000000" w:sz="4" w:space="0"/>
            </w:tcBorders>
            <w:shd w:val="clear" w:color="auto" w:fill="auto"/>
            <w:tcMar>
              <w:top w:w="12" w:type="dxa"/>
              <w:left w:w="96" w:type="dxa"/>
              <w:bottom w:w="12" w:type="dxa"/>
              <w:right w:w="96" w:type="dxa"/>
            </w:tcMar>
            <w:vAlign w:val="center"/>
          </w:tcPr>
          <w:p>
            <w:pPr>
              <w:rPr>
                <w:rFonts w:ascii="sans-serif" w:hAnsi="sans-serif" w:eastAsia="sans-serif" w:cs="sans-serif"/>
                <w:color w:val="000000"/>
                <w:sz w:val="19"/>
                <w:szCs w:val="19"/>
              </w:rPr>
            </w:pPr>
          </w:p>
        </w:tc>
        <w:tc>
          <w:tcPr>
            <w:tcW w:w="342" w:type="dxa"/>
            <w:vMerge w:val="continue"/>
            <w:tcBorders>
              <w:top w:val="single" w:color="000000" w:sz="4" w:space="0"/>
              <w:left w:val="single" w:color="auto" w:sz="4" w:space="0"/>
              <w:bottom w:val="single" w:color="000000" w:sz="4" w:space="0"/>
              <w:right w:val="single" w:color="000000" w:sz="4" w:space="0"/>
            </w:tcBorders>
            <w:shd w:val="clear" w:color="auto" w:fill="auto"/>
            <w:tcMar>
              <w:top w:w="12" w:type="dxa"/>
              <w:left w:w="96" w:type="dxa"/>
              <w:bottom w:w="12" w:type="dxa"/>
              <w:right w:w="96" w:type="dxa"/>
            </w:tcMar>
            <w:vAlign w:val="center"/>
          </w:tcPr>
          <w:p>
            <w:pPr>
              <w:rPr>
                <w:rFonts w:ascii="sans-serif" w:hAnsi="sans-serif" w:eastAsia="sans-serif" w:cs="sans-serif"/>
                <w:color w:val="000000"/>
                <w:sz w:val="19"/>
                <w:szCs w:val="19"/>
              </w:rPr>
            </w:pPr>
          </w:p>
        </w:tc>
        <w:tc>
          <w:tcPr>
            <w:tcW w:w="841" w:type="dxa"/>
            <w:vMerge w:val="continue"/>
            <w:tcBorders>
              <w:top w:val="single" w:color="000000" w:sz="4" w:space="0"/>
              <w:left w:val="single" w:color="auto" w:sz="4" w:space="0"/>
              <w:bottom w:val="single" w:color="000000" w:sz="4" w:space="0"/>
              <w:right w:val="single" w:color="000000" w:sz="4" w:space="0"/>
            </w:tcBorders>
            <w:shd w:val="clear" w:color="auto" w:fill="auto"/>
            <w:tcMar>
              <w:top w:w="12" w:type="dxa"/>
              <w:left w:w="96" w:type="dxa"/>
              <w:bottom w:w="12" w:type="dxa"/>
              <w:right w:w="96" w:type="dxa"/>
            </w:tcMar>
            <w:vAlign w:val="center"/>
          </w:tcPr>
          <w:p>
            <w:pPr>
              <w:rPr>
                <w:rFonts w:ascii="sans-serif" w:hAnsi="sans-serif" w:eastAsia="sans-serif" w:cs="sans-serif"/>
                <w:color w:val="000000"/>
                <w:sz w:val="19"/>
                <w:szCs w:val="19"/>
              </w:rPr>
            </w:pPr>
          </w:p>
        </w:tc>
        <w:tc>
          <w:tcPr>
            <w:tcW w:w="1100" w:type="dxa"/>
            <w:vMerge w:val="continue"/>
            <w:tcBorders>
              <w:top w:val="single" w:color="000000" w:sz="4" w:space="0"/>
              <w:left w:val="single" w:color="auto" w:sz="4" w:space="0"/>
              <w:bottom w:val="single" w:color="000000" w:sz="4" w:space="0"/>
              <w:right w:val="single" w:color="000000" w:sz="4" w:space="0"/>
            </w:tcBorders>
            <w:shd w:val="clear" w:color="auto" w:fill="auto"/>
            <w:tcMar>
              <w:top w:w="12" w:type="dxa"/>
              <w:left w:w="96" w:type="dxa"/>
              <w:bottom w:w="12" w:type="dxa"/>
              <w:right w:w="96" w:type="dxa"/>
            </w:tcMar>
            <w:vAlign w:val="center"/>
          </w:tcPr>
          <w:p>
            <w:pPr>
              <w:rPr>
                <w:rFonts w:ascii="sans-serif" w:hAnsi="sans-serif" w:eastAsia="sans-serif" w:cs="sans-serif"/>
                <w:color w:val="000000"/>
                <w:sz w:val="19"/>
                <w:szCs w:val="19"/>
              </w:rPr>
            </w:pPr>
          </w:p>
        </w:tc>
        <w:tc>
          <w:tcPr>
            <w:tcW w:w="642" w:type="dxa"/>
            <w:vMerge w:val="restart"/>
            <w:tcBorders>
              <w:top w:val="single" w:color="auto" w:sz="4" w:space="0"/>
              <w:left w:val="single" w:color="auto" w:sz="4" w:space="0"/>
              <w:bottom w:val="single" w:color="000000" w:sz="4" w:space="0"/>
              <w:right w:val="single" w:color="000000" w:sz="4" w:space="0"/>
            </w:tcBorders>
            <w:shd w:val="clear" w:color="auto" w:fill="auto"/>
            <w:tcMar>
              <w:top w:w="0" w:type="dxa"/>
              <w:left w:w="96" w:type="dxa"/>
              <w:bottom w:w="12" w:type="dxa"/>
              <w:right w:w="96" w:type="dxa"/>
            </w:tcMar>
            <w:vAlign w:val="center"/>
          </w:tcPr>
          <w:p>
            <w:pPr>
              <w:pStyle w:val="6"/>
              <w:spacing w:before="72" w:beforeAutospacing="0" w:afterAutospacing="0"/>
              <w:jc w:val="center"/>
            </w:pPr>
            <w:r>
              <w:rPr>
                <w:rFonts w:hint="eastAsia"/>
                <w:color w:val="000000"/>
                <w:sz w:val="15"/>
                <w:szCs w:val="15"/>
              </w:rPr>
              <w:t>小计</w:t>
            </w:r>
          </w:p>
        </w:tc>
        <w:tc>
          <w:tcPr>
            <w:tcW w:w="551" w:type="dxa"/>
            <w:vMerge w:val="restart"/>
            <w:tcBorders>
              <w:top w:val="single" w:color="auto" w:sz="4" w:space="0"/>
              <w:left w:val="single" w:color="auto" w:sz="4" w:space="0"/>
              <w:bottom w:val="single" w:color="000000" w:sz="4" w:space="0"/>
              <w:right w:val="single" w:color="000000" w:sz="4" w:space="0"/>
            </w:tcBorders>
            <w:shd w:val="clear" w:color="auto" w:fill="auto"/>
            <w:tcMar>
              <w:top w:w="0" w:type="dxa"/>
              <w:left w:w="96" w:type="dxa"/>
              <w:bottom w:w="12" w:type="dxa"/>
              <w:right w:w="96" w:type="dxa"/>
            </w:tcMar>
            <w:vAlign w:val="center"/>
          </w:tcPr>
          <w:p>
            <w:pPr>
              <w:pStyle w:val="6"/>
              <w:spacing w:before="72" w:beforeAutospacing="0" w:afterAutospacing="0" w:line="192" w:lineRule="atLeast"/>
              <w:jc w:val="center"/>
            </w:pPr>
            <w:r>
              <w:rPr>
                <w:rFonts w:hint="eastAsia"/>
                <w:color w:val="000000"/>
                <w:sz w:val="15"/>
                <w:szCs w:val="15"/>
              </w:rPr>
              <w:t>房屋构筑物</w:t>
            </w:r>
          </w:p>
        </w:tc>
        <w:tc>
          <w:tcPr>
            <w:tcW w:w="499" w:type="dxa"/>
            <w:vMerge w:val="restart"/>
            <w:tcBorders>
              <w:top w:val="single" w:color="auto" w:sz="4" w:space="0"/>
              <w:left w:val="single" w:color="auto" w:sz="4" w:space="0"/>
              <w:bottom w:val="single" w:color="000000" w:sz="4" w:space="0"/>
              <w:right w:val="single" w:color="000000" w:sz="4" w:space="0"/>
            </w:tcBorders>
            <w:shd w:val="clear" w:color="auto" w:fill="auto"/>
            <w:tcMar>
              <w:top w:w="0" w:type="dxa"/>
              <w:left w:w="96" w:type="dxa"/>
              <w:bottom w:w="12" w:type="dxa"/>
              <w:right w:w="96" w:type="dxa"/>
            </w:tcMar>
            <w:vAlign w:val="center"/>
          </w:tcPr>
          <w:p>
            <w:pPr>
              <w:pStyle w:val="6"/>
              <w:spacing w:before="72" w:beforeAutospacing="0" w:afterAutospacing="0" w:line="192" w:lineRule="atLeast"/>
              <w:jc w:val="center"/>
            </w:pPr>
            <w:r>
              <w:rPr>
                <w:rFonts w:hint="eastAsia"/>
                <w:color w:val="000000"/>
                <w:sz w:val="15"/>
                <w:szCs w:val="15"/>
              </w:rPr>
              <w:t>车辆</w:t>
            </w:r>
          </w:p>
        </w:tc>
        <w:tc>
          <w:tcPr>
            <w:tcW w:w="648" w:type="dxa"/>
            <w:vMerge w:val="restart"/>
            <w:tcBorders>
              <w:top w:val="single" w:color="auto" w:sz="4" w:space="0"/>
              <w:left w:val="single" w:color="auto" w:sz="4" w:space="0"/>
              <w:bottom w:val="single" w:color="000000" w:sz="4" w:space="0"/>
              <w:right w:val="single" w:color="000000" w:sz="4" w:space="0"/>
            </w:tcBorders>
            <w:shd w:val="clear" w:color="auto" w:fill="auto"/>
            <w:tcMar>
              <w:top w:w="0" w:type="dxa"/>
              <w:left w:w="96" w:type="dxa"/>
              <w:bottom w:w="12" w:type="dxa"/>
              <w:right w:w="96" w:type="dxa"/>
            </w:tcMar>
            <w:vAlign w:val="center"/>
          </w:tcPr>
          <w:p>
            <w:pPr>
              <w:pStyle w:val="6"/>
              <w:spacing w:before="72" w:beforeAutospacing="0" w:afterAutospacing="0" w:line="192" w:lineRule="atLeast"/>
              <w:jc w:val="center"/>
            </w:pPr>
            <w:r>
              <w:rPr>
                <w:rFonts w:hint="eastAsia"/>
                <w:color w:val="000000"/>
                <w:sz w:val="15"/>
                <w:szCs w:val="15"/>
              </w:rPr>
              <w:t>单价</w:t>
            </w:r>
            <w:r>
              <w:rPr>
                <w:rFonts w:ascii="Times New Roman" w:hAnsi="Times New Roman" w:eastAsia="sans-serif"/>
                <w:color w:val="000000"/>
                <w:sz w:val="15"/>
                <w:szCs w:val="15"/>
              </w:rPr>
              <w:t>200</w:t>
            </w:r>
            <w:r>
              <w:rPr>
                <w:rFonts w:hint="eastAsia"/>
                <w:color w:val="000000"/>
                <w:sz w:val="15"/>
                <w:szCs w:val="15"/>
              </w:rPr>
              <w:t>万以上大型设备</w:t>
            </w:r>
          </w:p>
        </w:tc>
        <w:tc>
          <w:tcPr>
            <w:tcW w:w="647" w:type="dxa"/>
            <w:vMerge w:val="restart"/>
            <w:tcBorders>
              <w:top w:val="single" w:color="auto" w:sz="4" w:space="0"/>
              <w:left w:val="single" w:color="auto" w:sz="4" w:space="0"/>
              <w:bottom w:val="single" w:color="000000" w:sz="4" w:space="0"/>
              <w:right w:val="single" w:color="000000" w:sz="4" w:space="0"/>
            </w:tcBorders>
            <w:shd w:val="clear" w:color="auto" w:fill="auto"/>
            <w:tcMar>
              <w:top w:w="0" w:type="dxa"/>
              <w:left w:w="96" w:type="dxa"/>
              <w:bottom w:w="12" w:type="dxa"/>
              <w:right w:w="96" w:type="dxa"/>
            </w:tcMar>
            <w:vAlign w:val="center"/>
          </w:tcPr>
          <w:p>
            <w:pPr>
              <w:pStyle w:val="6"/>
              <w:spacing w:before="72" w:beforeAutospacing="0" w:afterAutospacing="0" w:line="192" w:lineRule="atLeast"/>
              <w:jc w:val="center"/>
            </w:pPr>
            <w:r>
              <w:rPr>
                <w:rFonts w:hint="eastAsia"/>
                <w:color w:val="000000"/>
                <w:sz w:val="15"/>
                <w:szCs w:val="15"/>
              </w:rPr>
              <w:t>其他固定资产</w:t>
            </w:r>
          </w:p>
        </w:tc>
        <w:tc>
          <w:tcPr>
            <w:tcW w:w="661" w:type="dxa"/>
            <w:vMerge w:val="continue"/>
            <w:tcBorders>
              <w:top w:val="single" w:color="auto" w:sz="4" w:space="0"/>
              <w:left w:val="single" w:color="auto" w:sz="4" w:space="0"/>
              <w:bottom w:val="single" w:color="000000" w:sz="4" w:space="0"/>
              <w:right w:val="single" w:color="000000" w:sz="4" w:space="0"/>
            </w:tcBorders>
            <w:shd w:val="clear" w:color="auto" w:fill="auto"/>
            <w:tcMar>
              <w:top w:w="0" w:type="dxa"/>
              <w:left w:w="96" w:type="dxa"/>
              <w:bottom w:w="12" w:type="dxa"/>
              <w:right w:w="96" w:type="dxa"/>
            </w:tcMar>
            <w:vAlign w:val="center"/>
          </w:tcPr>
          <w:p>
            <w:pPr>
              <w:rPr>
                <w:rFonts w:ascii="sans-serif" w:hAnsi="sans-serif" w:eastAsia="sans-serif" w:cs="sans-serif"/>
                <w:color w:val="000000"/>
                <w:sz w:val="19"/>
                <w:szCs w:val="19"/>
              </w:rPr>
            </w:pPr>
          </w:p>
        </w:tc>
        <w:tc>
          <w:tcPr>
            <w:tcW w:w="693" w:type="dxa"/>
            <w:vMerge w:val="continue"/>
            <w:tcBorders>
              <w:top w:val="single" w:color="auto" w:sz="4" w:space="0"/>
              <w:left w:val="single" w:color="auto" w:sz="4" w:space="0"/>
              <w:bottom w:val="single" w:color="000000" w:sz="4" w:space="0"/>
              <w:right w:val="single" w:color="000000" w:sz="4" w:space="0"/>
            </w:tcBorders>
            <w:shd w:val="clear" w:color="auto" w:fill="auto"/>
            <w:tcMar>
              <w:top w:w="12" w:type="dxa"/>
              <w:left w:w="96" w:type="dxa"/>
              <w:bottom w:w="12" w:type="dxa"/>
              <w:right w:w="96" w:type="dxa"/>
            </w:tcMar>
            <w:vAlign w:val="center"/>
          </w:tcPr>
          <w:p>
            <w:pPr>
              <w:rPr>
                <w:rFonts w:ascii="sans-serif" w:hAnsi="sans-serif" w:eastAsia="sans-serif" w:cs="sans-serif"/>
                <w:color w:val="000000"/>
                <w:sz w:val="19"/>
                <w:szCs w:val="19"/>
              </w:rPr>
            </w:pPr>
          </w:p>
        </w:tc>
        <w:tc>
          <w:tcPr>
            <w:tcW w:w="617" w:type="dxa"/>
            <w:vMerge w:val="continue"/>
            <w:tcBorders>
              <w:top w:val="single" w:color="auto" w:sz="4" w:space="0"/>
              <w:left w:val="single" w:color="auto" w:sz="4" w:space="0"/>
              <w:bottom w:val="single" w:color="000000" w:sz="4" w:space="0"/>
              <w:right w:val="single" w:color="000000" w:sz="4" w:space="0"/>
            </w:tcBorders>
            <w:shd w:val="clear" w:color="auto" w:fill="auto"/>
            <w:tcMar>
              <w:top w:w="12" w:type="dxa"/>
              <w:left w:w="96" w:type="dxa"/>
              <w:bottom w:w="12" w:type="dxa"/>
              <w:right w:w="96" w:type="dxa"/>
            </w:tcMar>
            <w:vAlign w:val="center"/>
          </w:tcPr>
          <w:p>
            <w:pPr>
              <w:rPr>
                <w:rFonts w:ascii="sans-serif" w:hAnsi="sans-serif" w:eastAsia="sans-serif" w:cs="sans-serif"/>
                <w:color w:val="000000"/>
                <w:sz w:val="19"/>
                <w:szCs w:val="19"/>
              </w:rPr>
            </w:pPr>
          </w:p>
        </w:tc>
        <w:tc>
          <w:tcPr>
            <w:tcW w:w="725" w:type="dxa"/>
            <w:vMerge w:val="continue"/>
            <w:tcBorders>
              <w:top w:val="single" w:color="auto" w:sz="4" w:space="0"/>
              <w:left w:val="single" w:color="auto" w:sz="4" w:space="0"/>
              <w:bottom w:val="single" w:color="000000" w:sz="4" w:space="0"/>
              <w:right w:val="single" w:color="000000" w:sz="4" w:space="0"/>
            </w:tcBorders>
            <w:shd w:val="clear" w:color="auto" w:fill="auto"/>
            <w:tcMar>
              <w:top w:w="12" w:type="dxa"/>
              <w:left w:w="96" w:type="dxa"/>
              <w:bottom w:w="12" w:type="dxa"/>
              <w:right w:w="96" w:type="dxa"/>
            </w:tcMar>
            <w:vAlign w:val="center"/>
          </w:tcPr>
          <w:p>
            <w:pPr>
              <w:rPr>
                <w:rFonts w:ascii="sans-serif" w:hAnsi="sans-serif" w:eastAsia="sans-serif" w:cs="sans-serif"/>
                <w:color w:val="000000"/>
                <w:sz w:val="19"/>
                <w:szCs w:val="19"/>
              </w:rPr>
            </w:pPr>
          </w:p>
        </w:tc>
      </w:tr>
      <w:tr>
        <w:tblPrEx>
          <w:tblCellMar>
            <w:top w:w="15" w:type="dxa"/>
            <w:left w:w="15" w:type="dxa"/>
            <w:bottom w:w="15" w:type="dxa"/>
            <w:right w:w="15" w:type="dxa"/>
          </w:tblCellMar>
        </w:tblPrEx>
        <w:trPr>
          <w:trHeight w:val="624" w:hRule="atLeast"/>
        </w:trPr>
        <w:tc>
          <w:tcPr>
            <w:tcW w:w="532" w:type="dxa"/>
            <w:vMerge w:val="continue"/>
            <w:tcBorders>
              <w:top w:val="single" w:color="auto" w:sz="4" w:space="0"/>
              <w:left w:val="single" w:color="000000" w:sz="4" w:space="0"/>
              <w:bottom w:val="single" w:color="000000" w:sz="4" w:space="0"/>
              <w:right w:val="single" w:color="000000" w:sz="4" w:space="0"/>
            </w:tcBorders>
            <w:shd w:val="clear" w:color="auto" w:fill="auto"/>
            <w:tcMar>
              <w:top w:w="12" w:type="dxa"/>
              <w:left w:w="96" w:type="dxa"/>
              <w:bottom w:w="12" w:type="dxa"/>
              <w:right w:w="96" w:type="dxa"/>
            </w:tcMar>
            <w:vAlign w:val="center"/>
          </w:tcPr>
          <w:p>
            <w:pPr>
              <w:rPr>
                <w:rFonts w:ascii="sans-serif" w:hAnsi="sans-serif" w:eastAsia="sans-serif" w:cs="sans-serif"/>
                <w:color w:val="000000"/>
                <w:sz w:val="19"/>
                <w:szCs w:val="19"/>
              </w:rPr>
            </w:pPr>
          </w:p>
        </w:tc>
        <w:tc>
          <w:tcPr>
            <w:tcW w:w="342" w:type="dxa"/>
            <w:vMerge w:val="continue"/>
            <w:tcBorders>
              <w:top w:val="single" w:color="000000" w:sz="4" w:space="0"/>
              <w:left w:val="single" w:color="auto" w:sz="4" w:space="0"/>
              <w:bottom w:val="single" w:color="000000" w:sz="4" w:space="0"/>
              <w:right w:val="single" w:color="000000" w:sz="4" w:space="0"/>
            </w:tcBorders>
            <w:shd w:val="clear" w:color="auto" w:fill="auto"/>
            <w:tcMar>
              <w:top w:w="12" w:type="dxa"/>
              <w:left w:w="96" w:type="dxa"/>
              <w:bottom w:w="12" w:type="dxa"/>
              <w:right w:w="96" w:type="dxa"/>
            </w:tcMar>
            <w:vAlign w:val="center"/>
          </w:tcPr>
          <w:p>
            <w:pPr>
              <w:rPr>
                <w:rFonts w:ascii="sans-serif" w:hAnsi="sans-serif" w:eastAsia="sans-serif" w:cs="sans-serif"/>
                <w:color w:val="000000"/>
                <w:sz w:val="19"/>
                <w:szCs w:val="19"/>
              </w:rPr>
            </w:pPr>
          </w:p>
        </w:tc>
        <w:tc>
          <w:tcPr>
            <w:tcW w:w="841" w:type="dxa"/>
            <w:vMerge w:val="continue"/>
            <w:tcBorders>
              <w:top w:val="single" w:color="000000" w:sz="4" w:space="0"/>
              <w:left w:val="single" w:color="auto" w:sz="4" w:space="0"/>
              <w:bottom w:val="single" w:color="000000" w:sz="4" w:space="0"/>
              <w:right w:val="single" w:color="000000" w:sz="4" w:space="0"/>
            </w:tcBorders>
            <w:shd w:val="clear" w:color="auto" w:fill="auto"/>
            <w:tcMar>
              <w:top w:w="12" w:type="dxa"/>
              <w:left w:w="96" w:type="dxa"/>
              <w:bottom w:w="12" w:type="dxa"/>
              <w:right w:w="96" w:type="dxa"/>
            </w:tcMar>
            <w:vAlign w:val="center"/>
          </w:tcPr>
          <w:p>
            <w:pPr>
              <w:rPr>
                <w:rFonts w:ascii="sans-serif" w:hAnsi="sans-serif" w:eastAsia="sans-serif" w:cs="sans-serif"/>
                <w:color w:val="000000"/>
                <w:sz w:val="19"/>
                <w:szCs w:val="19"/>
              </w:rPr>
            </w:pPr>
          </w:p>
        </w:tc>
        <w:tc>
          <w:tcPr>
            <w:tcW w:w="1100" w:type="dxa"/>
            <w:vMerge w:val="continue"/>
            <w:tcBorders>
              <w:top w:val="single" w:color="000000" w:sz="4" w:space="0"/>
              <w:left w:val="single" w:color="auto" w:sz="4" w:space="0"/>
              <w:bottom w:val="single" w:color="000000" w:sz="4" w:space="0"/>
              <w:right w:val="single" w:color="000000" w:sz="4" w:space="0"/>
            </w:tcBorders>
            <w:shd w:val="clear" w:color="auto" w:fill="auto"/>
            <w:tcMar>
              <w:top w:w="12" w:type="dxa"/>
              <w:left w:w="96" w:type="dxa"/>
              <w:bottom w:w="12" w:type="dxa"/>
              <w:right w:w="96" w:type="dxa"/>
            </w:tcMar>
            <w:vAlign w:val="center"/>
          </w:tcPr>
          <w:p>
            <w:pPr>
              <w:rPr>
                <w:rFonts w:ascii="sans-serif" w:hAnsi="sans-serif" w:eastAsia="sans-serif" w:cs="sans-serif"/>
                <w:color w:val="000000"/>
                <w:sz w:val="19"/>
                <w:szCs w:val="19"/>
              </w:rPr>
            </w:pPr>
          </w:p>
        </w:tc>
        <w:tc>
          <w:tcPr>
            <w:tcW w:w="642" w:type="dxa"/>
            <w:vMerge w:val="continue"/>
            <w:tcBorders>
              <w:top w:val="single" w:color="auto" w:sz="4" w:space="0"/>
              <w:left w:val="single" w:color="auto" w:sz="4" w:space="0"/>
              <w:bottom w:val="single" w:color="000000" w:sz="4" w:space="0"/>
              <w:right w:val="single" w:color="000000" w:sz="4" w:space="0"/>
            </w:tcBorders>
            <w:shd w:val="clear" w:color="auto" w:fill="auto"/>
            <w:tcMar>
              <w:top w:w="0" w:type="dxa"/>
              <w:left w:w="96" w:type="dxa"/>
              <w:bottom w:w="12" w:type="dxa"/>
              <w:right w:w="96" w:type="dxa"/>
            </w:tcMar>
            <w:vAlign w:val="center"/>
          </w:tcPr>
          <w:p>
            <w:pPr>
              <w:rPr>
                <w:rFonts w:ascii="sans-serif" w:hAnsi="sans-serif" w:eastAsia="sans-serif" w:cs="sans-serif"/>
                <w:color w:val="000000"/>
                <w:sz w:val="19"/>
                <w:szCs w:val="19"/>
              </w:rPr>
            </w:pPr>
          </w:p>
        </w:tc>
        <w:tc>
          <w:tcPr>
            <w:tcW w:w="551" w:type="dxa"/>
            <w:vMerge w:val="continue"/>
            <w:tcBorders>
              <w:top w:val="single" w:color="auto" w:sz="4" w:space="0"/>
              <w:left w:val="single" w:color="auto" w:sz="4" w:space="0"/>
              <w:bottom w:val="single" w:color="000000" w:sz="4" w:space="0"/>
              <w:right w:val="single" w:color="000000" w:sz="4" w:space="0"/>
            </w:tcBorders>
            <w:shd w:val="clear" w:color="auto" w:fill="auto"/>
            <w:tcMar>
              <w:top w:w="0" w:type="dxa"/>
              <w:left w:w="96" w:type="dxa"/>
              <w:bottom w:w="12" w:type="dxa"/>
              <w:right w:w="96" w:type="dxa"/>
            </w:tcMar>
            <w:vAlign w:val="center"/>
          </w:tcPr>
          <w:p>
            <w:pPr>
              <w:rPr>
                <w:rFonts w:ascii="sans-serif" w:hAnsi="sans-serif" w:eastAsia="sans-serif" w:cs="sans-serif"/>
                <w:color w:val="000000"/>
                <w:sz w:val="19"/>
                <w:szCs w:val="19"/>
              </w:rPr>
            </w:pPr>
          </w:p>
        </w:tc>
        <w:tc>
          <w:tcPr>
            <w:tcW w:w="499" w:type="dxa"/>
            <w:vMerge w:val="continue"/>
            <w:tcBorders>
              <w:top w:val="single" w:color="auto" w:sz="4" w:space="0"/>
              <w:left w:val="single" w:color="auto" w:sz="4" w:space="0"/>
              <w:bottom w:val="single" w:color="000000" w:sz="4" w:space="0"/>
              <w:right w:val="single" w:color="000000" w:sz="4" w:space="0"/>
            </w:tcBorders>
            <w:shd w:val="clear" w:color="auto" w:fill="auto"/>
            <w:tcMar>
              <w:top w:w="0" w:type="dxa"/>
              <w:left w:w="96" w:type="dxa"/>
              <w:bottom w:w="12" w:type="dxa"/>
              <w:right w:w="96" w:type="dxa"/>
            </w:tcMar>
            <w:vAlign w:val="center"/>
          </w:tcPr>
          <w:p>
            <w:pPr>
              <w:rPr>
                <w:rFonts w:ascii="sans-serif" w:hAnsi="sans-serif" w:eastAsia="sans-serif" w:cs="sans-serif"/>
                <w:color w:val="000000"/>
                <w:sz w:val="19"/>
                <w:szCs w:val="19"/>
              </w:rPr>
            </w:pPr>
          </w:p>
        </w:tc>
        <w:tc>
          <w:tcPr>
            <w:tcW w:w="648" w:type="dxa"/>
            <w:vMerge w:val="continue"/>
            <w:tcBorders>
              <w:top w:val="single" w:color="auto" w:sz="4" w:space="0"/>
              <w:left w:val="single" w:color="auto" w:sz="4" w:space="0"/>
              <w:bottom w:val="single" w:color="000000" w:sz="4" w:space="0"/>
              <w:right w:val="single" w:color="000000" w:sz="4" w:space="0"/>
            </w:tcBorders>
            <w:shd w:val="clear" w:color="auto" w:fill="auto"/>
            <w:tcMar>
              <w:top w:w="0" w:type="dxa"/>
              <w:left w:w="96" w:type="dxa"/>
              <w:bottom w:w="12" w:type="dxa"/>
              <w:right w:w="96" w:type="dxa"/>
            </w:tcMar>
            <w:vAlign w:val="center"/>
          </w:tcPr>
          <w:p>
            <w:pPr>
              <w:rPr>
                <w:rFonts w:ascii="sans-serif" w:hAnsi="sans-serif" w:eastAsia="sans-serif" w:cs="sans-serif"/>
                <w:color w:val="000000"/>
                <w:sz w:val="19"/>
                <w:szCs w:val="19"/>
              </w:rPr>
            </w:pPr>
          </w:p>
        </w:tc>
        <w:tc>
          <w:tcPr>
            <w:tcW w:w="647" w:type="dxa"/>
            <w:vMerge w:val="continue"/>
            <w:tcBorders>
              <w:top w:val="single" w:color="auto" w:sz="4" w:space="0"/>
              <w:left w:val="single" w:color="auto" w:sz="4" w:space="0"/>
              <w:bottom w:val="single" w:color="000000" w:sz="4" w:space="0"/>
              <w:right w:val="single" w:color="000000" w:sz="4" w:space="0"/>
            </w:tcBorders>
            <w:shd w:val="clear" w:color="auto" w:fill="auto"/>
            <w:tcMar>
              <w:top w:w="0" w:type="dxa"/>
              <w:left w:w="96" w:type="dxa"/>
              <w:bottom w:w="12" w:type="dxa"/>
              <w:right w:w="96" w:type="dxa"/>
            </w:tcMar>
            <w:vAlign w:val="center"/>
          </w:tcPr>
          <w:p>
            <w:pPr>
              <w:rPr>
                <w:rFonts w:ascii="sans-serif" w:hAnsi="sans-serif" w:eastAsia="sans-serif" w:cs="sans-serif"/>
                <w:color w:val="000000"/>
                <w:sz w:val="19"/>
                <w:szCs w:val="19"/>
              </w:rPr>
            </w:pPr>
          </w:p>
        </w:tc>
        <w:tc>
          <w:tcPr>
            <w:tcW w:w="661" w:type="dxa"/>
            <w:vMerge w:val="continue"/>
            <w:tcBorders>
              <w:top w:val="single" w:color="auto" w:sz="4" w:space="0"/>
              <w:left w:val="single" w:color="auto" w:sz="4" w:space="0"/>
              <w:bottom w:val="single" w:color="000000" w:sz="4" w:space="0"/>
              <w:right w:val="single" w:color="000000" w:sz="4" w:space="0"/>
            </w:tcBorders>
            <w:shd w:val="clear" w:color="auto" w:fill="auto"/>
            <w:tcMar>
              <w:top w:w="0" w:type="dxa"/>
              <w:left w:w="96" w:type="dxa"/>
              <w:bottom w:w="12" w:type="dxa"/>
              <w:right w:w="96" w:type="dxa"/>
            </w:tcMar>
            <w:vAlign w:val="center"/>
          </w:tcPr>
          <w:p>
            <w:pPr>
              <w:rPr>
                <w:rFonts w:ascii="sans-serif" w:hAnsi="sans-serif" w:eastAsia="sans-serif" w:cs="sans-serif"/>
                <w:color w:val="000000"/>
                <w:sz w:val="19"/>
                <w:szCs w:val="19"/>
              </w:rPr>
            </w:pPr>
          </w:p>
        </w:tc>
        <w:tc>
          <w:tcPr>
            <w:tcW w:w="693" w:type="dxa"/>
            <w:vMerge w:val="continue"/>
            <w:tcBorders>
              <w:top w:val="single" w:color="auto" w:sz="4" w:space="0"/>
              <w:left w:val="single" w:color="auto" w:sz="4" w:space="0"/>
              <w:bottom w:val="single" w:color="000000" w:sz="4" w:space="0"/>
              <w:right w:val="single" w:color="000000" w:sz="4" w:space="0"/>
            </w:tcBorders>
            <w:shd w:val="clear" w:color="auto" w:fill="auto"/>
            <w:tcMar>
              <w:top w:w="12" w:type="dxa"/>
              <w:left w:w="96" w:type="dxa"/>
              <w:bottom w:w="12" w:type="dxa"/>
              <w:right w:w="96" w:type="dxa"/>
            </w:tcMar>
            <w:vAlign w:val="center"/>
          </w:tcPr>
          <w:p>
            <w:pPr>
              <w:rPr>
                <w:rFonts w:ascii="sans-serif" w:hAnsi="sans-serif" w:eastAsia="sans-serif" w:cs="sans-serif"/>
                <w:color w:val="000000"/>
                <w:sz w:val="19"/>
                <w:szCs w:val="19"/>
              </w:rPr>
            </w:pPr>
          </w:p>
        </w:tc>
        <w:tc>
          <w:tcPr>
            <w:tcW w:w="617" w:type="dxa"/>
            <w:vMerge w:val="continue"/>
            <w:tcBorders>
              <w:top w:val="single" w:color="auto" w:sz="4" w:space="0"/>
              <w:left w:val="single" w:color="auto" w:sz="4" w:space="0"/>
              <w:bottom w:val="single" w:color="000000" w:sz="4" w:space="0"/>
              <w:right w:val="single" w:color="000000" w:sz="4" w:space="0"/>
            </w:tcBorders>
            <w:shd w:val="clear" w:color="auto" w:fill="auto"/>
            <w:tcMar>
              <w:top w:w="12" w:type="dxa"/>
              <w:left w:w="96" w:type="dxa"/>
              <w:bottom w:w="12" w:type="dxa"/>
              <w:right w:w="96" w:type="dxa"/>
            </w:tcMar>
            <w:vAlign w:val="center"/>
          </w:tcPr>
          <w:p>
            <w:pPr>
              <w:rPr>
                <w:rFonts w:ascii="sans-serif" w:hAnsi="sans-serif" w:eastAsia="sans-serif" w:cs="sans-serif"/>
                <w:color w:val="000000"/>
                <w:sz w:val="19"/>
                <w:szCs w:val="19"/>
              </w:rPr>
            </w:pPr>
          </w:p>
        </w:tc>
        <w:tc>
          <w:tcPr>
            <w:tcW w:w="725" w:type="dxa"/>
            <w:vMerge w:val="continue"/>
            <w:tcBorders>
              <w:top w:val="single" w:color="auto" w:sz="4" w:space="0"/>
              <w:left w:val="single" w:color="auto" w:sz="4" w:space="0"/>
              <w:bottom w:val="single" w:color="000000" w:sz="4" w:space="0"/>
              <w:right w:val="single" w:color="000000" w:sz="4" w:space="0"/>
            </w:tcBorders>
            <w:shd w:val="clear" w:color="auto" w:fill="auto"/>
            <w:tcMar>
              <w:top w:w="12" w:type="dxa"/>
              <w:left w:w="96" w:type="dxa"/>
              <w:bottom w:w="12" w:type="dxa"/>
              <w:right w:w="96" w:type="dxa"/>
            </w:tcMar>
            <w:vAlign w:val="center"/>
          </w:tcPr>
          <w:p>
            <w:pPr>
              <w:rPr>
                <w:rFonts w:ascii="sans-serif" w:hAnsi="sans-serif" w:eastAsia="sans-serif" w:cs="sans-serif"/>
                <w:color w:val="000000"/>
                <w:sz w:val="19"/>
                <w:szCs w:val="19"/>
              </w:rPr>
            </w:pPr>
          </w:p>
        </w:tc>
      </w:tr>
      <w:tr>
        <w:tblPrEx>
          <w:tblCellMar>
            <w:top w:w="15" w:type="dxa"/>
            <w:left w:w="15" w:type="dxa"/>
            <w:bottom w:w="15" w:type="dxa"/>
            <w:right w:w="15" w:type="dxa"/>
          </w:tblCellMar>
        </w:tblPrEx>
        <w:trPr>
          <w:trHeight w:val="402" w:hRule="atLeast"/>
        </w:trPr>
        <w:tc>
          <w:tcPr>
            <w:tcW w:w="532" w:type="dxa"/>
            <w:tcBorders>
              <w:top w:val="single" w:color="auto" w:sz="4" w:space="0"/>
              <w:left w:val="single" w:color="000000" w:sz="4" w:space="0"/>
              <w:bottom w:val="single" w:color="000000" w:sz="4" w:space="0"/>
              <w:right w:val="single" w:color="000000" w:sz="4" w:space="0"/>
            </w:tcBorders>
            <w:shd w:val="clear" w:color="auto" w:fill="auto"/>
            <w:tcMar>
              <w:top w:w="0" w:type="dxa"/>
              <w:left w:w="96" w:type="dxa"/>
              <w:bottom w:w="12" w:type="dxa"/>
              <w:right w:w="96" w:type="dxa"/>
            </w:tcMar>
            <w:vAlign w:val="center"/>
          </w:tcPr>
          <w:p>
            <w:pPr>
              <w:pStyle w:val="6"/>
              <w:spacing w:before="72" w:beforeAutospacing="0" w:afterAutospacing="0"/>
              <w:jc w:val="center"/>
            </w:pPr>
            <w:r>
              <w:rPr>
                <w:rFonts w:hint="eastAsia"/>
                <w:color w:val="000000"/>
                <w:sz w:val="15"/>
                <w:szCs w:val="15"/>
              </w:rPr>
              <w:t>栏次</w:t>
            </w:r>
          </w:p>
        </w:tc>
        <w:tc>
          <w:tcPr>
            <w:tcW w:w="342" w:type="dxa"/>
            <w:tcBorders>
              <w:top w:val="single" w:color="auto" w:sz="4" w:space="0"/>
              <w:left w:val="single" w:color="auto" w:sz="4" w:space="0"/>
              <w:bottom w:val="single" w:color="000000" w:sz="4" w:space="0"/>
              <w:right w:val="single" w:color="000000" w:sz="4" w:space="0"/>
            </w:tcBorders>
            <w:shd w:val="clear" w:color="auto" w:fill="auto"/>
            <w:tcMar>
              <w:top w:w="0" w:type="dxa"/>
              <w:left w:w="96" w:type="dxa"/>
              <w:bottom w:w="12" w:type="dxa"/>
              <w:right w:w="96" w:type="dxa"/>
            </w:tcMar>
            <w:vAlign w:val="center"/>
          </w:tcPr>
          <w:p>
            <w:pPr>
              <w:widowControl/>
              <w:jc w:val="left"/>
              <w:rPr>
                <w:rFonts w:ascii="sans-serif" w:hAnsi="sans-serif" w:eastAsia="sans-serif" w:cs="sans-serif"/>
                <w:color w:val="000000"/>
                <w:sz w:val="19"/>
                <w:szCs w:val="19"/>
              </w:rPr>
            </w:pPr>
          </w:p>
        </w:tc>
        <w:tc>
          <w:tcPr>
            <w:tcW w:w="841" w:type="dxa"/>
            <w:tcBorders>
              <w:top w:val="single" w:color="auto" w:sz="4" w:space="0"/>
              <w:left w:val="single" w:color="auto" w:sz="4" w:space="0"/>
              <w:bottom w:val="single" w:color="000000" w:sz="4" w:space="0"/>
              <w:right w:val="single" w:color="000000" w:sz="4" w:space="0"/>
            </w:tcBorders>
            <w:shd w:val="clear" w:color="auto" w:fill="auto"/>
            <w:tcMar>
              <w:top w:w="0" w:type="dxa"/>
              <w:left w:w="96" w:type="dxa"/>
              <w:bottom w:w="12" w:type="dxa"/>
              <w:right w:w="96" w:type="dxa"/>
            </w:tcMar>
            <w:vAlign w:val="center"/>
          </w:tcPr>
          <w:p>
            <w:pPr>
              <w:pStyle w:val="6"/>
              <w:spacing w:before="72" w:beforeAutospacing="0" w:afterAutospacing="0"/>
              <w:jc w:val="center"/>
            </w:pPr>
            <w:r>
              <w:rPr>
                <w:rFonts w:ascii="Times New Roman" w:hAnsi="Times New Roman" w:eastAsia="sans-serif"/>
                <w:color w:val="000000"/>
                <w:sz w:val="15"/>
                <w:szCs w:val="15"/>
              </w:rPr>
              <w:t>1</w:t>
            </w:r>
          </w:p>
        </w:tc>
        <w:tc>
          <w:tcPr>
            <w:tcW w:w="1100" w:type="dxa"/>
            <w:tcBorders>
              <w:top w:val="single" w:color="auto" w:sz="4" w:space="0"/>
              <w:left w:val="single" w:color="auto" w:sz="4" w:space="0"/>
              <w:bottom w:val="single" w:color="000000" w:sz="4" w:space="0"/>
              <w:right w:val="single" w:color="000000" w:sz="4" w:space="0"/>
            </w:tcBorders>
            <w:shd w:val="clear" w:color="auto" w:fill="auto"/>
            <w:tcMar>
              <w:top w:w="0" w:type="dxa"/>
              <w:left w:w="96" w:type="dxa"/>
              <w:bottom w:w="12" w:type="dxa"/>
              <w:right w:w="96" w:type="dxa"/>
            </w:tcMar>
            <w:vAlign w:val="center"/>
          </w:tcPr>
          <w:p>
            <w:pPr>
              <w:pStyle w:val="6"/>
              <w:spacing w:before="72" w:beforeAutospacing="0" w:afterAutospacing="0"/>
              <w:jc w:val="center"/>
            </w:pPr>
            <w:r>
              <w:rPr>
                <w:rFonts w:ascii="Times New Roman" w:hAnsi="Times New Roman" w:eastAsia="sans-serif"/>
                <w:color w:val="000000"/>
                <w:sz w:val="15"/>
                <w:szCs w:val="15"/>
              </w:rPr>
              <w:t>2</w:t>
            </w:r>
          </w:p>
        </w:tc>
        <w:tc>
          <w:tcPr>
            <w:tcW w:w="642" w:type="dxa"/>
            <w:tcBorders>
              <w:top w:val="single" w:color="auto" w:sz="4" w:space="0"/>
              <w:left w:val="single" w:color="auto" w:sz="4" w:space="0"/>
              <w:bottom w:val="single" w:color="000000" w:sz="4" w:space="0"/>
              <w:right w:val="single" w:color="000000" w:sz="4" w:space="0"/>
            </w:tcBorders>
            <w:shd w:val="clear" w:color="auto" w:fill="auto"/>
            <w:tcMar>
              <w:top w:w="0" w:type="dxa"/>
              <w:left w:w="96" w:type="dxa"/>
              <w:bottom w:w="12" w:type="dxa"/>
              <w:right w:w="96" w:type="dxa"/>
            </w:tcMar>
            <w:vAlign w:val="center"/>
          </w:tcPr>
          <w:p>
            <w:pPr>
              <w:pStyle w:val="6"/>
              <w:spacing w:before="72" w:beforeAutospacing="0" w:afterAutospacing="0"/>
              <w:jc w:val="center"/>
            </w:pPr>
            <w:r>
              <w:rPr>
                <w:rFonts w:ascii="Times New Roman" w:hAnsi="Times New Roman" w:eastAsia="sans-serif"/>
                <w:color w:val="000000"/>
                <w:sz w:val="15"/>
                <w:szCs w:val="15"/>
              </w:rPr>
              <w:t>3</w:t>
            </w:r>
          </w:p>
        </w:tc>
        <w:tc>
          <w:tcPr>
            <w:tcW w:w="551" w:type="dxa"/>
            <w:tcBorders>
              <w:top w:val="single" w:color="auto" w:sz="4" w:space="0"/>
              <w:left w:val="single" w:color="auto" w:sz="4" w:space="0"/>
              <w:bottom w:val="single" w:color="000000" w:sz="4" w:space="0"/>
              <w:right w:val="single" w:color="000000" w:sz="4" w:space="0"/>
            </w:tcBorders>
            <w:shd w:val="clear" w:color="auto" w:fill="auto"/>
            <w:tcMar>
              <w:top w:w="0" w:type="dxa"/>
              <w:left w:w="96" w:type="dxa"/>
              <w:bottom w:w="12" w:type="dxa"/>
              <w:right w:w="96" w:type="dxa"/>
            </w:tcMar>
            <w:vAlign w:val="center"/>
          </w:tcPr>
          <w:p>
            <w:pPr>
              <w:pStyle w:val="6"/>
              <w:spacing w:before="72" w:beforeAutospacing="0" w:afterAutospacing="0"/>
              <w:jc w:val="center"/>
            </w:pPr>
            <w:r>
              <w:rPr>
                <w:rFonts w:ascii="Times New Roman" w:hAnsi="Times New Roman" w:eastAsia="sans-serif"/>
                <w:color w:val="000000"/>
                <w:sz w:val="15"/>
                <w:szCs w:val="15"/>
              </w:rPr>
              <w:t>4</w:t>
            </w:r>
          </w:p>
        </w:tc>
        <w:tc>
          <w:tcPr>
            <w:tcW w:w="499" w:type="dxa"/>
            <w:tcBorders>
              <w:top w:val="single" w:color="auto" w:sz="4" w:space="0"/>
              <w:left w:val="single" w:color="auto" w:sz="4" w:space="0"/>
              <w:bottom w:val="single" w:color="000000" w:sz="4" w:space="0"/>
              <w:right w:val="single" w:color="000000" w:sz="4" w:space="0"/>
            </w:tcBorders>
            <w:shd w:val="clear" w:color="auto" w:fill="auto"/>
            <w:tcMar>
              <w:top w:w="0" w:type="dxa"/>
              <w:left w:w="96" w:type="dxa"/>
              <w:bottom w:w="12" w:type="dxa"/>
              <w:right w:w="96" w:type="dxa"/>
            </w:tcMar>
            <w:vAlign w:val="center"/>
          </w:tcPr>
          <w:p>
            <w:pPr>
              <w:pStyle w:val="6"/>
              <w:spacing w:before="72" w:beforeAutospacing="0" w:afterAutospacing="0"/>
              <w:jc w:val="center"/>
            </w:pPr>
            <w:r>
              <w:rPr>
                <w:rFonts w:ascii="Times New Roman" w:hAnsi="Times New Roman" w:eastAsia="sans-serif"/>
                <w:color w:val="000000"/>
                <w:sz w:val="15"/>
                <w:szCs w:val="15"/>
              </w:rPr>
              <w:t>5</w:t>
            </w:r>
          </w:p>
        </w:tc>
        <w:tc>
          <w:tcPr>
            <w:tcW w:w="648" w:type="dxa"/>
            <w:tcBorders>
              <w:top w:val="single" w:color="auto" w:sz="4" w:space="0"/>
              <w:left w:val="single" w:color="auto" w:sz="4" w:space="0"/>
              <w:bottom w:val="single" w:color="000000" w:sz="4" w:space="0"/>
              <w:right w:val="single" w:color="000000" w:sz="4" w:space="0"/>
            </w:tcBorders>
            <w:shd w:val="clear" w:color="auto" w:fill="auto"/>
            <w:tcMar>
              <w:top w:w="0" w:type="dxa"/>
              <w:left w:w="96" w:type="dxa"/>
              <w:bottom w:w="12" w:type="dxa"/>
              <w:right w:w="96" w:type="dxa"/>
            </w:tcMar>
            <w:vAlign w:val="center"/>
          </w:tcPr>
          <w:p>
            <w:pPr>
              <w:pStyle w:val="6"/>
              <w:spacing w:before="72" w:beforeAutospacing="0" w:afterAutospacing="0"/>
              <w:jc w:val="center"/>
            </w:pPr>
            <w:r>
              <w:rPr>
                <w:rFonts w:ascii="Times New Roman" w:hAnsi="Times New Roman" w:eastAsia="sans-serif"/>
                <w:color w:val="000000"/>
                <w:sz w:val="15"/>
                <w:szCs w:val="15"/>
              </w:rPr>
              <w:t>6</w:t>
            </w:r>
          </w:p>
        </w:tc>
        <w:tc>
          <w:tcPr>
            <w:tcW w:w="647" w:type="dxa"/>
            <w:tcBorders>
              <w:top w:val="single" w:color="auto" w:sz="4" w:space="0"/>
              <w:left w:val="single" w:color="auto" w:sz="4" w:space="0"/>
              <w:bottom w:val="single" w:color="000000" w:sz="4" w:space="0"/>
              <w:right w:val="single" w:color="000000" w:sz="4" w:space="0"/>
            </w:tcBorders>
            <w:shd w:val="clear" w:color="auto" w:fill="auto"/>
            <w:tcMar>
              <w:top w:w="0" w:type="dxa"/>
              <w:left w:w="96" w:type="dxa"/>
              <w:bottom w:w="12" w:type="dxa"/>
              <w:right w:w="96" w:type="dxa"/>
            </w:tcMar>
            <w:vAlign w:val="center"/>
          </w:tcPr>
          <w:p>
            <w:pPr>
              <w:pStyle w:val="6"/>
              <w:spacing w:before="72" w:beforeAutospacing="0" w:afterAutospacing="0"/>
              <w:jc w:val="center"/>
            </w:pPr>
            <w:r>
              <w:rPr>
                <w:rFonts w:ascii="Times New Roman" w:hAnsi="Times New Roman" w:eastAsia="sans-serif"/>
                <w:color w:val="000000"/>
                <w:sz w:val="15"/>
                <w:szCs w:val="15"/>
              </w:rPr>
              <w:t>7</w:t>
            </w:r>
          </w:p>
        </w:tc>
        <w:tc>
          <w:tcPr>
            <w:tcW w:w="661" w:type="dxa"/>
            <w:tcBorders>
              <w:top w:val="single" w:color="auto" w:sz="4" w:space="0"/>
              <w:left w:val="single" w:color="auto" w:sz="4" w:space="0"/>
              <w:bottom w:val="single" w:color="000000" w:sz="4" w:space="0"/>
              <w:right w:val="single" w:color="000000" w:sz="4" w:space="0"/>
            </w:tcBorders>
            <w:shd w:val="clear" w:color="auto" w:fill="auto"/>
            <w:tcMar>
              <w:top w:w="0" w:type="dxa"/>
              <w:left w:w="96" w:type="dxa"/>
              <w:bottom w:w="12" w:type="dxa"/>
              <w:right w:w="96" w:type="dxa"/>
            </w:tcMar>
            <w:vAlign w:val="center"/>
          </w:tcPr>
          <w:p>
            <w:pPr>
              <w:pStyle w:val="6"/>
              <w:spacing w:before="72" w:beforeAutospacing="0" w:afterAutospacing="0"/>
              <w:jc w:val="center"/>
            </w:pPr>
            <w:r>
              <w:rPr>
                <w:rFonts w:ascii="Times New Roman" w:hAnsi="Times New Roman" w:eastAsia="sans-serif"/>
                <w:color w:val="000000"/>
                <w:sz w:val="15"/>
                <w:szCs w:val="15"/>
              </w:rPr>
              <w:t>8</w:t>
            </w:r>
          </w:p>
        </w:tc>
        <w:tc>
          <w:tcPr>
            <w:tcW w:w="693" w:type="dxa"/>
            <w:tcBorders>
              <w:top w:val="single" w:color="auto" w:sz="4" w:space="0"/>
              <w:left w:val="single" w:color="auto" w:sz="4" w:space="0"/>
              <w:bottom w:val="single" w:color="000000" w:sz="4" w:space="0"/>
              <w:right w:val="single" w:color="000000" w:sz="4" w:space="0"/>
            </w:tcBorders>
            <w:shd w:val="clear" w:color="auto" w:fill="auto"/>
            <w:tcMar>
              <w:top w:w="0" w:type="dxa"/>
              <w:left w:w="96" w:type="dxa"/>
              <w:bottom w:w="12" w:type="dxa"/>
              <w:right w:w="96" w:type="dxa"/>
            </w:tcMar>
            <w:vAlign w:val="center"/>
          </w:tcPr>
          <w:p>
            <w:pPr>
              <w:pStyle w:val="6"/>
              <w:spacing w:before="72" w:beforeAutospacing="0" w:afterAutospacing="0"/>
              <w:jc w:val="center"/>
            </w:pPr>
            <w:r>
              <w:rPr>
                <w:rFonts w:ascii="Times New Roman" w:hAnsi="Times New Roman" w:eastAsia="sans-serif"/>
                <w:color w:val="000000"/>
                <w:sz w:val="15"/>
                <w:szCs w:val="15"/>
              </w:rPr>
              <w:t>9</w:t>
            </w:r>
          </w:p>
        </w:tc>
        <w:tc>
          <w:tcPr>
            <w:tcW w:w="617" w:type="dxa"/>
            <w:tcBorders>
              <w:top w:val="single" w:color="auto" w:sz="4" w:space="0"/>
              <w:left w:val="single" w:color="auto" w:sz="4" w:space="0"/>
              <w:bottom w:val="single" w:color="000000" w:sz="4" w:space="0"/>
              <w:right w:val="single" w:color="000000" w:sz="4" w:space="0"/>
            </w:tcBorders>
            <w:shd w:val="clear" w:color="auto" w:fill="auto"/>
            <w:tcMar>
              <w:top w:w="0" w:type="dxa"/>
              <w:left w:w="96" w:type="dxa"/>
              <w:bottom w:w="12" w:type="dxa"/>
              <w:right w:w="96" w:type="dxa"/>
            </w:tcMar>
            <w:vAlign w:val="center"/>
          </w:tcPr>
          <w:p>
            <w:pPr>
              <w:pStyle w:val="6"/>
              <w:spacing w:before="72" w:beforeAutospacing="0" w:afterAutospacing="0"/>
              <w:jc w:val="center"/>
            </w:pPr>
            <w:r>
              <w:rPr>
                <w:rFonts w:ascii="Times New Roman" w:hAnsi="Times New Roman" w:eastAsia="sans-serif"/>
                <w:color w:val="000000"/>
                <w:sz w:val="15"/>
                <w:szCs w:val="15"/>
              </w:rPr>
              <w:t>10</w:t>
            </w:r>
          </w:p>
        </w:tc>
        <w:tc>
          <w:tcPr>
            <w:tcW w:w="725" w:type="dxa"/>
            <w:tcBorders>
              <w:top w:val="single" w:color="auto" w:sz="4" w:space="0"/>
              <w:left w:val="single" w:color="auto" w:sz="4" w:space="0"/>
              <w:bottom w:val="single" w:color="000000" w:sz="4" w:space="0"/>
              <w:right w:val="single" w:color="000000" w:sz="4" w:space="0"/>
            </w:tcBorders>
            <w:shd w:val="clear" w:color="auto" w:fill="auto"/>
            <w:tcMar>
              <w:top w:w="0" w:type="dxa"/>
              <w:left w:w="96" w:type="dxa"/>
              <w:bottom w:w="12" w:type="dxa"/>
              <w:right w:w="96" w:type="dxa"/>
            </w:tcMar>
            <w:vAlign w:val="center"/>
          </w:tcPr>
          <w:p>
            <w:pPr>
              <w:pStyle w:val="6"/>
              <w:spacing w:before="72" w:beforeAutospacing="0" w:afterAutospacing="0"/>
              <w:jc w:val="center"/>
            </w:pPr>
            <w:r>
              <w:rPr>
                <w:rFonts w:ascii="Times New Roman" w:hAnsi="Times New Roman" w:eastAsia="sans-serif"/>
                <w:color w:val="000000"/>
                <w:sz w:val="15"/>
                <w:szCs w:val="15"/>
              </w:rPr>
              <w:t>11</w:t>
            </w:r>
          </w:p>
        </w:tc>
      </w:tr>
      <w:tr>
        <w:tblPrEx>
          <w:tblCellMar>
            <w:top w:w="15" w:type="dxa"/>
            <w:left w:w="15" w:type="dxa"/>
            <w:bottom w:w="15" w:type="dxa"/>
            <w:right w:w="15" w:type="dxa"/>
          </w:tblCellMar>
        </w:tblPrEx>
        <w:trPr>
          <w:trHeight w:val="240" w:hRule="atLeast"/>
        </w:trPr>
        <w:tc>
          <w:tcPr>
            <w:tcW w:w="532" w:type="dxa"/>
            <w:tcBorders>
              <w:top w:val="single" w:color="auto" w:sz="4" w:space="0"/>
              <w:left w:val="single" w:color="000000" w:sz="4" w:space="0"/>
              <w:bottom w:val="single" w:color="auto" w:sz="4" w:space="0"/>
              <w:right w:val="single" w:color="000000" w:sz="4" w:space="0"/>
            </w:tcBorders>
            <w:shd w:val="clear" w:color="auto" w:fill="auto"/>
            <w:tcMar>
              <w:top w:w="0" w:type="dxa"/>
              <w:left w:w="96" w:type="dxa"/>
              <w:bottom w:w="12" w:type="dxa"/>
              <w:right w:w="96" w:type="dxa"/>
            </w:tcMar>
            <w:vAlign w:val="center"/>
          </w:tcPr>
          <w:p>
            <w:pPr>
              <w:pStyle w:val="6"/>
              <w:spacing w:before="72" w:beforeAutospacing="0" w:afterAutospacing="0"/>
              <w:jc w:val="center"/>
            </w:pPr>
            <w:r>
              <w:rPr>
                <w:rFonts w:hint="eastAsia"/>
                <w:color w:val="000000"/>
                <w:sz w:val="15"/>
                <w:szCs w:val="15"/>
              </w:rPr>
              <w:t>合计</w:t>
            </w:r>
          </w:p>
        </w:tc>
        <w:tc>
          <w:tcPr>
            <w:tcW w:w="342" w:type="dxa"/>
            <w:tcBorders>
              <w:top w:val="single" w:color="auto" w:sz="4" w:space="0"/>
              <w:left w:val="single" w:color="auto" w:sz="4" w:space="0"/>
              <w:bottom w:val="single" w:color="auto" w:sz="4" w:space="0"/>
              <w:right w:val="single" w:color="000000" w:sz="4" w:space="0"/>
            </w:tcBorders>
            <w:shd w:val="clear" w:color="auto" w:fill="auto"/>
            <w:tcMar>
              <w:top w:w="0" w:type="dxa"/>
              <w:left w:w="96" w:type="dxa"/>
              <w:bottom w:w="12" w:type="dxa"/>
              <w:right w:w="96" w:type="dxa"/>
            </w:tcMar>
            <w:vAlign w:val="center"/>
          </w:tcPr>
          <w:p>
            <w:pPr>
              <w:widowControl/>
              <w:spacing w:line="340" w:lineRule="exact"/>
              <w:jc w:val="center"/>
              <w:rPr>
                <w:rFonts w:ascii="Times New Roman" w:hAnsi="Times New Roman" w:cs="Times New Roman"/>
                <w:bCs/>
                <w:sz w:val="22"/>
              </w:rPr>
            </w:pPr>
            <w:r>
              <w:rPr>
                <w:rFonts w:ascii="Times New Roman" w:hAnsi="Times New Roman" w:eastAsia="宋体" w:cs="Times New Roman"/>
                <w:bCs/>
                <w:color w:val="000000"/>
                <w:sz w:val="22"/>
              </w:rPr>
              <w:t>1</w:t>
            </w:r>
          </w:p>
        </w:tc>
        <w:tc>
          <w:tcPr>
            <w:tcW w:w="841" w:type="dxa"/>
            <w:tcBorders>
              <w:top w:val="single" w:color="auto" w:sz="4" w:space="0"/>
              <w:left w:val="single" w:color="auto" w:sz="4" w:space="0"/>
              <w:bottom w:val="single" w:color="auto" w:sz="4" w:space="0"/>
              <w:right w:val="single" w:color="000000" w:sz="4" w:space="0"/>
            </w:tcBorders>
            <w:shd w:val="clear" w:color="auto" w:fill="auto"/>
            <w:tcMar>
              <w:top w:w="0" w:type="dxa"/>
              <w:left w:w="96" w:type="dxa"/>
              <w:bottom w:w="12" w:type="dxa"/>
              <w:right w:w="96" w:type="dxa"/>
            </w:tcMar>
            <w:vAlign w:val="center"/>
          </w:tcPr>
          <w:p>
            <w:pPr>
              <w:widowControl/>
              <w:spacing w:line="340" w:lineRule="exact"/>
              <w:jc w:val="center"/>
              <w:rPr>
                <w:rFonts w:ascii="Times New Roman" w:hAnsi="Times New Roman" w:cs="Times New Roman"/>
                <w:bCs/>
                <w:sz w:val="22"/>
              </w:rPr>
            </w:pPr>
            <w:r>
              <w:rPr>
                <w:rFonts w:ascii="Times New Roman" w:hAnsi="Times New Roman" w:cs="Times New Roman"/>
                <w:bCs/>
                <w:color w:val="000000"/>
                <w:sz w:val="22"/>
              </w:rPr>
              <w:t>392.01</w:t>
            </w:r>
          </w:p>
        </w:tc>
        <w:tc>
          <w:tcPr>
            <w:tcW w:w="1100" w:type="dxa"/>
            <w:tcBorders>
              <w:top w:val="single" w:color="auto" w:sz="4" w:space="0"/>
              <w:left w:val="single" w:color="auto" w:sz="4" w:space="0"/>
              <w:bottom w:val="single" w:color="auto" w:sz="4" w:space="0"/>
              <w:right w:val="single" w:color="000000" w:sz="4" w:space="0"/>
            </w:tcBorders>
            <w:shd w:val="clear" w:color="auto" w:fill="auto"/>
            <w:tcMar>
              <w:top w:w="0" w:type="dxa"/>
              <w:left w:w="96" w:type="dxa"/>
              <w:bottom w:w="12" w:type="dxa"/>
              <w:right w:w="96" w:type="dxa"/>
            </w:tcMar>
            <w:vAlign w:val="center"/>
          </w:tcPr>
          <w:p>
            <w:pPr>
              <w:widowControl/>
              <w:spacing w:line="340" w:lineRule="exact"/>
              <w:jc w:val="center"/>
              <w:rPr>
                <w:rFonts w:ascii="Times New Roman" w:hAnsi="Times New Roman" w:cs="Times New Roman"/>
                <w:bCs/>
                <w:sz w:val="22"/>
              </w:rPr>
            </w:pPr>
            <w:r>
              <w:rPr>
                <w:rFonts w:ascii="Times New Roman" w:hAnsi="Times New Roman" w:cs="Times New Roman"/>
                <w:bCs/>
                <w:color w:val="000000"/>
                <w:sz w:val="22"/>
              </w:rPr>
              <w:t>88.46</w:t>
            </w:r>
          </w:p>
        </w:tc>
        <w:tc>
          <w:tcPr>
            <w:tcW w:w="642" w:type="dxa"/>
            <w:tcBorders>
              <w:top w:val="single" w:color="auto" w:sz="4" w:space="0"/>
              <w:left w:val="single" w:color="auto" w:sz="4" w:space="0"/>
              <w:bottom w:val="single" w:color="auto" w:sz="4" w:space="0"/>
              <w:right w:val="single" w:color="000000" w:sz="4" w:space="0"/>
            </w:tcBorders>
            <w:shd w:val="clear" w:color="auto" w:fill="auto"/>
            <w:tcMar>
              <w:top w:w="0" w:type="dxa"/>
              <w:left w:w="96" w:type="dxa"/>
              <w:bottom w:w="12" w:type="dxa"/>
              <w:right w:w="96" w:type="dxa"/>
            </w:tcMar>
            <w:vAlign w:val="center"/>
          </w:tcPr>
          <w:p>
            <w:pPr>
              <w:widowControl/>
              <w:spacing w:line="340" w:lineRule="exact"/>
              <w:jc w:val="center"/>
              <w:rPr>
                <w:rFonts w:ascii="Times New Roman" w:hAnsi="Times New Roman" w:cs="Times New Roman"/>
                <w:bCs/>
                <w:sz w:val="22"/>
              </w:rPr>
            </w:pPr>
            <w:r>
              <w:rPr>
                <w:rFonts w:ascii="Times New Roman" w:hAnsi="Times New Roman" w:cs="Times New Roman"/>
                <w:bCs/>
                <w:color w:val="000000"/>
                <w:sz w:val="22"/>
              </w:rPr>
              <w:t>303.55</w:t>
            </w:r>
          </w:p>
        </w:tc>
        <w:tc>
          <w:tcPr>
            <w:tcW w:w="551" w:type="dxa"/>
            <w:tcBorders>
              <w:top w:val="single" w:color="auto" w:sz="4" w:space="0"/>
              <w:left w:val="single" w:color="auto" w:sz="4" w:space="0"/>
              <w:bottom w:val="single" w:color="auto" w:sz="4" w:space="0"/>
              <w:right w:val="single" w:color="000000" w:sz="4" w:space="0"/>
            </w:tcBorders>
            <w:shd w:val="clear" w:color="auto" w:fill="auto"/>
            <w:tcMar>
              <w:top w:w="0" w:type="dxa"/>
              <w:left w:w="96" w:type="dxa"/>
              <w:bottom w:w="12" w:type="dxa"/>
              <w:right w:w="96" w:type="dxa"/>
            </w:tcMar>
            <w:vAlign w:val="center"/>
          </w:tcPr>
          <w:p>
            <w:pPr>
              <w:widowControl/>
              <w:spacing w:line="340" w:lineRule="exact"/>
              <w:jc w:val="center"/>
              <w:rPr>
                <w:rFonts w:ascii="Times New Roman" w:hAnsi="Times New Roman" w:cs="Times New Roman"/>
                <w:bCs/>
                <w:sz w:val="22"/>
              </w:rPr>
            </w:pPr>
            <w:r>
              <w:rPr>
                <w:rFonts w:ascii="Times New Roman" w:hAnsi="Times New Roman" w:cs="Times New Roman"/>
                <w:bCs/>
                <w:color w:val="000000"/>
                <w:sz w:val="22"/>
              </w:rPr>
              <w:t>212.79</w:t>
            </w:r>
          </w:p>
        </w:tc>
        <w:tc>
          <w:tcPr>
            <w:tcW w:w="499" w:type="dxa"/>
            <w:tcBorders>
              <w:top w:val="single" w:color="auto" w:sz="4" w:space="0"/>
              <w:left w:val="single" w:color="auto" w:sz="4" w:space="0"/>
              <w:bottom w:val="single" w:color="auto" w:sz="4" w:space="0"/>
              <w:right w:val="single" w:color="000000" w:sz="4" w:space="0"/>
            </w:tcBorders>
            <w:shd w:val="clear" w:color="auto" w:fill="auto"/>
            <w:tcMar>
              <w:top w:w="0" w:type="dxa"/>
              <w:left w:w="96" w:type="dxa"/>
              <w:bottom w:w="12" w:type="dxa"/>
              <w:right w:w="96" w:type="dxa"/>
            </w:tcMar>
            <w:vAlign w:val="center"/>
          </w:tcPr>
          <w:p>
            <w:pPr>
              <w:widowControl/>
              <w:spacing w:line="340" w:lineRule="exact"/>
              <w:jc w:val="center"/>
              <w:rPr>
                <w:rFonts w:ascii="Times New Roman" w:hAnsi="Times New Roman" w:cs="Times New Roman"/>
                <w:bCs/>
                <w:sz w:val="22"/>
              </w:rPr>
            </w:pPr>
            <w:r>
              <w:rPr>
                <w:rFonts w:ascii="Times New Roman" w:hAnsi="Times New Roman" w:cs="Times New Roman"/>
                <w:bCs/>
                <w:color w:val="000000"/>
                <w:sz w:val="22"/>
              </w:rPr>
              <w:t>15.80</w:t>
            </w:r>
          </w:p>
        </w:tc>
        <w:tc>
          <w:tcPr>
            <w:tcW w:w="648" w:type="dxa"/>
            <w:tcBorders>
              <w:top w:val="single" w:color="auto" w:sz="4" w:space="0"/>
              <w:left w:val="single" w:color="auto" w:sz="4" w:space="0"/>
              <w:bottom w:val="single" w:color="auto" w:sz="4" w:space="0"/>
              <w:right w:val="single" w:color="000000" w:sz="4" w:space="0"/>
            </w:tcBorders>
            <w:shd w:val="clear" w:color="auto" w:fill="auto"/>
            <w:tcMar>
              <w:top w:w="0" w:type="dxa"/>
              <w:left w:w="96" w:type="dxa"/>
              <w:bottom w:w="12" w:type="dxa"/>
              <w:right w:w="96" w:type="dxa"/>
            </w:tcMar>
            <w:vAlign w:val="center"/>
          </w:tcPr>
          <w:p>
            <w:pPr>
              <w:widowControl/>
              <w:spacing w:line="340" w:lineRule="exact"/>
              <w:jc w:val="center"/>
              <w:rPr>
                <w:rFonts w:ascii="Times New Roman" w:hAnsi="Times New Roman" w:cs="Times New Roman"/>
                <w:bCs/>
                <w:sz w:val="22"/>
              </w:rPr>
            </w:pPr>
            <w:r>
              <w:rPr>
                <w:rFonts w:ascii="Times New Roman" w:hAnsi="Times New Roman" w:cs="Times New Roman"/>
                <w:bCs/>
                <w:color w:val="000000"/>
                <w:sz w:val="22"/>
              </w:rPr>
              <w:t>0.00</w:t>
            </w:r>
          </w:p>
        </w:tc>
        <w:tc>
          <w:tcPr>
            <w:tcW w:w="647" w:type="dxa"/>
            <w:tcBorders>
              <w:top w:val="single" w:color="auto" w:sz="4" w:space="0"/>
              <w:left w:val="single" w:color="auto" w:sz="4" w:space="0"/>
              <w:bottom w:val="single" w:color="auto" w:sz="4" w:space="0"/>
              <w:right w:val="single" w:color="000000" w:sz="4" w:space="0"/>
            </w:tcBorders>
            <w:shd w:val="clear" w:color="auto" w:fill="auto"/>
            <w:tcMar>
              <w:top w:w="0" w:type="dxa"/>
              <w:left w:w="96" w:type="dxa"/>
              <w:bottom w:w="12" w:type="dxa"/>
              <w:right w:w="96" w:type="dxa"/>
            </w:tcMar>
            <w:vAlign w:val="center"/>
          </w:tcPr>
          <w:p>
            <w:pPr>
              <w:widowControl/>
              <w:spacing w:line="340" w:lineRule="exact"/>
              <w:jc w:val="center"/>
              <w:rPr>
                <w:rFonts w:ascii="Times New Roman" w:hAnsi="Times New Roman" w:cs="Times New Roman"/>
                <w:bCs/>
                <w:sz w:val="22"/>
              </w:rPr>
            </w:pPr>
            <w:r>
              <w:rPr>
                <w:rFonts w:ascii="Times New Roman" w:hAnsi="Times New Roman" w:cs="Times New Roman"/>
                <w:bCs/>
                <w:color w:val="000000"/>
                <w:sz w:val="22"/>
              </w:rPr>
              <w:t>74.96</w:t>
            </w:r>
          </w:p>
        </w:tc>
        <w:tc>
          <w:tcPr>
            <w:tcW w:w="661" w:type="dxa"/>
            <w:tcBorders>
              <w:top w:val="single" w:color="auto" w:sz="4" w:space="0"/>
              <w:left w:val="single" w:color="auto" w:sz="4" w:space="0"/>
              <w:bottom w:val="single" w:color="auto" w:sz="4" w:space="0"/>
              <w:right w:val="single" w:color="000000" w:sz="4" w:space="0"/>
            </w:tcBorders>
            <w:shd w:val="clear" w:color="auto" w:fill="auto"/>
            <w:tcMar>
              <w:top w:w="0" w:type="dxa"/>
              <w:left w:w="96" w:type="dxa"/>
              <w:bottom w:w="12" w:type="dxa"/>
              <w:right w:w="96" w:type="dxa"/>
            </w:tcMar>
            <w:vAlign w:val="center"/>
          </w:tcPr>
          <w:p>
            <w:pPr>
              <w:widowControl/>
              <w:spacing w:line="340" w:lineRule="exact"/>
              <w:jc w:val="center"/>
              <w:rPr>
                <w:rFonts w:ascii="Times New Roman" w:hAnsi="Times New Roman" w:cs="Times New Roman"/>
                <w:bCs/>
                <w:sz w:val="22"/>
              </w:rPr>
            </w:pPr>
            <w:r>
              <w:rPr>
                <w:rFonts w:ascii="Times New Roman" w:hAnsi="Times New Roman" w:cs="Times New Roman"/>
                <w:bCs/>
                <w:color w:val="000000"/>
                <w:sz w:val="22"/>
              </w:rPr>
              <w:t>0.00</w:t>
            </w:r>
          </w:p>
        </w:tc>
        <w:tc>
          <w:tcPr>
            <w:tcW w:w="693" w:type="dxa"/>
            <w:tcBorders>
              <w:top w:val="single" w:color="auto" w:sz="4" w:space="0"/>
              <w:left w:val="single" w:color="auto" w:sz="4" w:space="0"/>
              <w:bottom w:val="single" w:color="auto" w:sz="4" w:space="0"/>
              <w:right w:val="single" w:color="000000" w:sz="4" w:space="0"/>
            </w:tcBorders>
            <w:shd w:val="clear" w:color="auto" w:fill="auto"/>
            <w:tcMar>
              <w:top w:w="0" w:type="dxa"/>
              <w:left w:w="96" w:type="dxa"/>
              <w:bottom w:w="12" w:type="dxa"/>
              <w:right w:w="96" w:type="dxa"/>
            </w:tcMar>
            <w:vAlign w:val="center"/>
          </w:tcPr>
          <w:p>
            <w:pPr>
              <w:widowControl/>
              <w:spacing w:line="340" w:lineRule="exact"/>
              <w:jc w:val="center"/>
              <w:rPr>
                <w:rFonts w:ascii="Times New Roman" w:hAnsi="Times New Roman" w:cs="Times New Roman"/>
                <w:bCs/>
                <w:sz w:val="22"/>
              </w:rPr>
            </w:pPr>
            <w:r>
              <w:rPr>
                <w:rFonts w:ascii="Times New Roman" w:hAnsi="Times New Roman" w:cs="Times New Roman"/>
                <w:bCs/>
                <w:color w:val="000000"/>
                <w:sz w:val="22"/>
              </w:rPr>
              <w:t>0.00</w:t>
            </w:r>
          </w:p>
        </w:tc>
        <w:tc>
          <w:tcPr>
            <w:tcW w:w="617" w:type="dxa"/>
            <w:tcBorders>
              <w:top w:val="single" w:color="auto" w:sz="4" w:space="0"/>
              <w:left w:val="single" w:color="auto" w:sz="4" w:space="0"/>
              <w:bottom w:val="single" w:color="auto" w:sz="4" w:space="0"/>
              <w:right w:val="single" w:color="000000" w:sz="4" w:space="0"/>
            </w:tcBorders>
            <w:shd w:val="clear" w:color="auto" w:fill="auto"/>
            <w:tcMar>
              <w:top w:w="0" w:type="dxa"/>
              <w:left w:w="96" w:type="dxa"/>
              <w:bottom w:w="12" w:type="dxa"/>
              <w:right w:w="96" w:type="dxa"/>
            </w:tcMar>
            <w:vAlign w:val="center"/>
          </w:tcPr>
          <w:p>
            <w:pPr>
              <w:widowControl/>
              <w:spacing w:line="340" w:lineRule="exact"/>
              <w:jc w:val="center"/>
              <w:rPr>
                <w:rFonts w:ascii="Times New Roman" w:hAnsi="Times New Roman" w:cs="Times New Roman"/>
                <w:bCs/>
                <w:sz w:val="22"/>
              </w:rPr>
            </w:pPr>
            <w:r>
              <w:rPr>
                <w:rFonts w:ascii="Times New Roman" w:hAnsi="Times New Roman" w:cs="Times New Roman"/>
                <w:bCs/>
                <w:color w:val="000000"/>
                <w:sz w:val="22"/>
              </w:rPr>
              <w:t>0.00</w:t>
            </w:r>
          </w:p>
        </w:tc>
        <w:tc>
          <w:tcPr>
            <w:tcW w:w="725" w:type="dxa"/>
            <w:tcBorders>
              <w:top w:val="single" w:color="auto" w:sz="4" w:space="0"/>
              <w:left w:val="single" w:color="auto" w:sz="4" w:space="0"/>
              <w:bottom w:val="single" w:color="auto" w:sz="4" w:space="0"/>
              <w:right w:val="single" w:color="000000" w:sz="4" w:space="0"/>
            </w:tcBorders>
            <w:shd w:val="clear" w:color="auto" w:fill="auto"/>
            <w:tcMar>
              <w:top w:w="0" w:type="dxa"/>
              <w:left w:w="96" w:type="dxa"/>
              <w:bottom w:w="12" w:type="dxa"/>
              <w:right w:w="96" w:type="dxa"/>
            </w:tcMar>
            <w:vAlign w:val="center"/>
          </w:tcPr>
          <w:p>
            <w:pPr>
              <w:widowControl/>
              <w:spacing w:line="340" w:lineRule="exact"/>
              <w:jc w:val="center"/>
              <w:rPr>
                <w:rFonts w:ascii="Times New Roman" w:hAnsi="Times New Roman" w:cs="Times New Roman"/>
                <w:bCs/>
                <w:sz w:val="22"/>
              </w:rPr>
            </w:pPr>
            <w:r>
              <w:rPr>
                <w:rFonts w:ascii="Times New Roman" w:hAnsi="Times New Roman" w:cs="Times New Roman"/>
                <w:bCs/>
                <w:color w:val="000000"/>
                <w:sz w:val="22"/>
              </w:rPr>
              <w:t>0.00</w:t>
            </w:r>
          </w:p>
        </w:tc>
      </w:tr>
      <w:tr>
        <w:tblPrEx>
          <w:tblCellMar>
            <w:top w:w="15" w:type="dxa"/>
            <w:left w:w="15" w:type="dxa"/>
            <w:bottom w:w="15" w:type="dxa"/>
            <w:right w:w="15" w:type="dxa"/>
          </w:tblCellMar>
        </w:tblPrEx>
        <w:trPr>
          <w:trHeight w:val="240" w:hRule="atLeast"/>
        </w:trPr>
        <w:tc>
          <w:tcPr>
            <w:tcW w:w="8498" w:type="dxa"/>
            <w:gridSpan w:val="13"/>
            <w:tcBorders>
              <w:top w:val="single" w:color="auto" w:sz="4" w:space="0"/>
              <w:left w:val="single" w:color="000000" w:sz="4" w:space="0"/>
              <w:bottom w:val="single" w:color="000000" w:sz="4" w:space="0"/>
              <w:right w:val="single" w:color="000000" w:sz="4" w:space="0"/>
            </w:tcBorders>
            <w:shd w:val="clear" w:color="auto" w:fill="auto"/>
            <w:tcMar>
              <w:top w:w="0" w:type="dxa"/>
              <w:left w:w="96" w:type="dxa"/>
              <w:bottom w:w="12" w:type="dxa"/>
              <w:right w:w="96" w:type="dxa"/>
            </w:tcMar>
            <w:vAlign w:val="center"/>
          </w:tcPr>
          <w:p>
            <w:pPr>
              <w:pStyle w:val="6"/>
              <w:spacing w:before="72" w:beforeAutospacing="0" w:afterAutospacing="0" w:line="300" w:lineRule="exact"/>
            </w:pPr>
            <w:r>
              <w:rPr>
                <w:rFonts w:hint="eastAsia"/>
                <w:color w:val="000000"/>
                <w:sz w:val="19"/>
                <w:szCs w:val="19"/>
              </w:rPr>
              <w:t>填报说明：</w:t>
            </w:r>
            <w:r>
              <w:rPr>
                <w:rFonts w:ascii="Times New Roman" w:hAnsi="Times New Roman"/>
                <w:color w:val="000000"/>
                <w:sz w:val="19"/>
                <w:szCs w:val="19"/>
              </w:rPr>
              <w:t>1.</w:t>
            </w:r>
            <w:r>
              <w:rPr>
                <w:rFonts w:hint="eastAsia"/>
                <w:color w:val="000000"/>
                <w:sz w:val="19"/>
                <w:szCs w:val="19"/>
              </w:rPr>
              <w:t>资产总额＝流动资产＋固定资产＋对外投资／有价证券＋在建工程＋无形资产＋其他资产。</w:t>
            </w:r>
          </w:p>
          <w:p>
            <w:pPr>
              <w:pStyle w:val="6"/>
              <w:spacing w:before="72" w:beforeAutospacing="0" w:afterAutospacing="0" w:line="300" w:lineRule="exact"/>
              <w:ind w:firstLine="516"/>
            </w:pPr>
            <w:r>
              <w:rPr>
                <w:rFonts w:hint="eastAsia"/>
                <w:color w:val="000000"/>
                <w:sz w:val="19"/>
                <w:szCs w:val="19"/>
              </w:rPr>
              <w:t> </w:t>
            </w:r>
            <w:r>
              <w:rPr>
                <w:rFonts w:ascii="sans-serif" w:hAnsi="sans-serif" w:eastAsia="sans-serif" w:cs="sans-serif"/>
                <w:color w:val="000000"/>
                <w:sz w:val="19"/>
                <w:szCs w:val="19"/>
              </w:rPr>
              <w:t> </w:t>
            </w:r>
            <w:r>
              <w:rPr>
                <w:rFonts w:hint="eastAsia"/>
                <w:color w:val="000000"/>
                <w:sz w:val="19"/>
                <w:szCs w:val="19"/>
              </w:rPr>
              <w:t> 2.固定资产＝房屋构筑物＋车辆＋单价</w:t>
            </w:r>
            <w:r>
              <w:rPr>
                <w:rFonts w:ascii="Times New Roman" w:hAnsi="Times New Roman"/>
                <w:color w:val="000000"/>
                <w:sz w:val="19"/>
                <w:szCs w:val="19"/>
              </w:rPr>
              <w:t>200</w:t>
            </w:r>
            <w:r>
              <w:rPr>
                <w:rFonts w:hint="eastAsia"/>
                <w:color w:val="000000"/>
                <w:sz w:val="19"/>
                <w:szCs w:val="19"/>
              </w:rPr>
              <w:t>万元以上大型设备＋其他固定资产</w:t>
            </w:r>
          </w:p>
          <w:p>
            <w:pPr>
              <w:pStyle w:val="6"/>
              <w:spacing w:before="72" w:beforeAutospacing="0" w:afterAutospacing="0" w:line="300" w:lineRule="exact"/>
              <w:ind w:firstLine="516"/>
            </w:pPr>
            <w:r>
              <w:rPr>
                <w:rFonts w:hint="eastAsia"/>
                <w:color w:val="000000"/>
                <w:sz w:val="19"/>
                <w:szCs w:val="19"/>
              </w:rPr>
              <w:t> </w:t>
            </w:r>
            <w:r>
              <w:rPr>
                <w:rFonts w:ascii="sans-serif" w:hAnsi="sans-serif" w:eastAsia="sans-serif" w:cs="sans-serif"/>
                <w:color w:val="000000"/>
                <w:sz w:val="19"/>
                <w:szCs w:val="19"/>
              </w:rPr>
              <w:t> </w:t>
            </w:r>
            <w:r>
              <w:rPr>
                <w:rFonts w:hint="eastAsia"/>
                <w:color w:val="000000"/>
                <w:sz w:val="19"/>
                <w:szCs w:val="19"/>
              </w:rPr>
              <w:t> 3.填报金额为资产“账面原值”。</w:t>
            </w:r>
          </w:p>
        </w:tc>
      </w:tr>
    </w:tbl>
    <w:p>
      <w:pPr>
        <w:spacing w:line="59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三、政府采购支出情况</w:t>
      </w:r>
    </w:p>
    <w:p>
      <w:pPr>
        <w:spacing w:line="590" w:lineRule="exact"/>
        <w:ind w:firstLine="640" w:firstLineChars="200"/>
        <w:rPr>
          <w:rFonts w:ascii="Times New Roman" w:hAnsi="Times New Roman" w:cs="Times New Roman"/>
          <w:bCs/>
          <w:sz w:val="32"/>
          <w:szCs w:val="32"/>
        </w:rPr>
      </w:pPr>
      <w:r>
        <w:rPr>
          <w:rFonts w:ascii="Times New Roman" w:hAnsi="Times New Roman" w:cs="Times New Roman"/>
          <w:bCs/>
          <w:sz w:val="32"/>
          <w:szCs w:val="32"/>
        </w:rPr>
        <w:t>2021</w:t>
      </w:r>
      <w:r>
        <w:rPr>
          <w:rFonts w:ascii="Times New Roman" w:hAnsi="Times New Roman" w:eastAsia="方正仿宋_GBK" w:cs="Times New Roman"/>
          <w:bCs/>
          <w:sz w:val="32"/>
          <w:szCs w:val="32"/>
        </w:rPr>
        <w:t>年度，部门政府采购支出总额</w:t>
      </w:r>
      <w:r>
        <w:rPr>
          <w:rFonts w:ascii="Times New Roman" w:hAnsi="Times New Roman" w:cs="Times New Roman"/>
          <w:bCs/>
          <w:sz w:val="32"/>
          <w:szCs w:val="32"/>
        </w:rPr>
        <w:t>14.24</w:t>
      </w:r>
      <w:r>
        <w:rPr>
          <w:rFonts w:ascii="Times New Roman" w:hAnsi="Times New Roman" w:eastAsia="方正仿宋_GBK" w:cs="Times New Roman"/>
          <w:bCs/>
          <w:sz w:val="32"/>
          <w:szCs w:val="32"/>
        </w:rPr>
        <w:t>万元，其中：政府采购货物支出</w:t>
      </w:r>
      <w:r>
        <w:rPr>
          <w:rFonts w:ascii="Times New Roman" w:hAnsi="Times New Roman" w:cs="Times New Roman"/>
          <w:bCs/>
          <w:sz w:val="32"/>
          <w:szCs w:val="32"/>
        </w:rPr>
        <w:t>14.24</w:t>
      </w:r>
      <w:r>
        <w:rPr>
          <w:rFonts w:ascii="Times New Roman" w:hAnsi="Times New Roman" w:eastAsia="方正仿宋_GBK" w:cs="Times New Roman"/>
          <w:bCs/>
          <w:sz w:val="32"/>
          <w:szCs w:val="32"/>
        </w:rPr>
        <w:t>万元；政府采购工程支出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万元；政府采购服务支出</w:t>
      </w:r>
      <w:r>
        <w:rPr>
          <w:rFonts w:ascii="Times New Roman" w:hAnsi="Times New Roman" w:cs="Times New Roman"/>
          <w:bCs/>
          <w:sz w:val="32"/>
          <w:szCs w:val="32"/>
        </w:rPr>
        <w:t>0.00</w:t>
      </w:r>
      <w:r>
        <w:rPr>
          <w:rFonts w:ascii="Times New Roman" w:hAnsi="Times New Roman" w:eastAsia="方正仿宋_GBK" w:cs="Times New Roman"/>
          <w:bCs/>
          <w:sz w:val="32"/>
          <w:szCs w:val="32"/>
        </w:rPr>
        <w:t>万元。授予中小企业合同金额</w:t>
      </w:r>
      <w:r>
        <w:rPr>
          <w:rFonts w:ascii="Times New Roman" w:hAnsi="Times New Roman" w:cs="Times New Roman"/>
          <w:bCs/>
          <w:sz w:val="32"/>
          <w:szCs w:val="32"/>
        </w:rPr>
        <w:t>0.00</w:t>
      </w:r>
      <w:r>
        <w:rPr>
          <w:rFonts w:ascii="Times New Roman" w:hAnsi="Times New Roman" w:eastAsia="方正仿宋_GBK" w:cs="Times New Roman"/>
          <w:bCs/>
          <w:sz w:val="32"/>
          <w:szCs w:val="32"/>
        </w:rPr>
        <w:t>万元，占政府采购支出总额的</w:t>
      </w:r>
      <w:r>
        <w:rPr>
          <w:rFonts w:ascii="Times New Roman" w:hAnsi="Times New Roman" w:cs="Times New Roman"/>
          <w:bCs/>
          <w:sz w:val="32"/>
          <w:szCs w:val="32"/>
        </w:rPr>
        <w:t>0.00%。</w:t>
      </w:r>
    </w:p>
    <w:p>
      <w:pPr>
        <w:spacing w:line="59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color w:val="000000"/>
          <w:sz w:val="32"/>
          <w:szCs w:val="32"/>
        </w:rPr>
        <w:t>四、</w:t>
      </w:r>
      <w:r>
        <w:rPr>
          <w:rFonts w:ascii="Times New Roman" w:hAnsi="Times New Roman" w:eastAsia="方正黑体_GBK" w:cs="Times New Roman"/>
          <w:bCs/>
          <w:sz w:val="32"/>
          <w:szCs w:val="32"/>
        </w:rPr>
        <w:t>部门绩效自评情况</w:t>
      </w:r>
    </w:p>
    <w:p>
      <w:pPr>
        <w:topLinePunct/>
        <w:spacing w:line="590" w:lineRule="exact"/>
        <w:ind w:firstLine="641"/>
        <w:rPr>
          <w:rFonts w:ascii="Times New Roman" w:hAnsi="Times New Roman" w:eastAsia="方正楷体_GBK" w:cs="Times New Roman"/>
          <w:sz w:val="32"/>
          <w:szCs w:val="32"/>
        </w:rPr>
      </w:pPr>
      <w:r>
        <w:rPr>
          <w:rFonts w:ascii="Times New Roman" w:eastAsia="方正楷体_GBK" w:cs="Times New Roman"/>
          <w:sz w:val="32"/>
          <w:szCs w:val="32"/>
        </w:rPr>
        <w:t>（一）预算绩效管理工作开展情况</w:t>
      </w:r>
    </w:p>
    <w:p>
      <w:pPr>
        <w:topLinePunct/>
        <w:spacing w:line="590" w:lineRule="exact"/>
        <w:ind w:firstLine="641"/>
        <w:rPr>
          <w:rFonts w:ascii="Times New Roman" w:hAnsi="Times New Roman" w:eastAsia="方正仿宋_GBK" w:cs="Times New Roman"/>
          <w:sz w:val="32"/>
          <w:szCs w:val="32"/>
        </w:rPr>
      </w:pPr>
      <w:r>
        <w:rPr>
          <w:rFonts w:ascii="Times New Roman" w:eastAsia="方正仿宋_GBK" w:cs="Times New Roman"/>
          <w:sz w:val="32"/>
          <w:szCs w:val="32"/>
        </w:rPr>
        <w:t>为贯彻落实党的十九大关于</w:t>
      </w:r>
      <w:r>
        <w:rPr>
          <w:rFonts w:ascii="Times New Roman" w:hAnsi="Times New Roman" w:eastAsia="方正仿宋_GBK" w:cs="Times New Roman"/>
          <w:sz w:val="32"/>
          <w:szCs w:val="32"/>
        </w:rPr>
        <w:t>“</w:t>
      </w:r>
      <w:r>
        <w:rPr>
          <w:rFonts w:ascii="Times New Roman" w:eastAsia="方正仿宋_GBK" w:cs="Times New Roman"/>
          <w:sz w:val="32"/>
          <w:szCs w:val="32"/>
        </w:rPr>
        <w:t>全面实施绩效管理</w:t>
      </w:r>
      <w:r>
        <w:rPr>
          <w:rFonts w:ascii="Times New Roman" w:hAnsi="Times New Roman" w:eastAsia="方正仿宋_GBK" w:cs="Times New Roman"/>
          <w:sz w:val="32"/>
          <w:szCs w:val="32"/>
        </w:rPr>
        <w:t>”</w:t>
      </w:r>
      <w:r>
        <w:rPr>
          <w:rFonts w:ascii="Times New Roman" w:eastAsia="方正仿宋_GBK" w:cs="Times New Roman"/>
          <w:sz w:val="32"/>
          <w:szCs w:val="32"/>
        </w:rPr>
        <w:t>的战略部署，提高财政资源配置效率和使用效益，根据《玉溪市市级财政预算绩效目标管理暂行办法》要求，对实施的</w:t>
      </w:r>
      <w:r>
        <w:rPr>
          <w:rFonts w:hint="eastAsia" w:ascii="Times New Roman" w:eastAsia="方正仿宋_GBK" w:cs="Times New Roman"/>
          <w:sz w:val="32"/>
          <w:szCs w:val="32"/>
        </w:rPr>
        <w:t>采购</w:t>
      </w:r>
      <w:r>
        <w:rPr>
          <w:rFonts w:ascii="Times New Roman" w:eastAsia="方正仿宋_GBK" w:cs="Times New Roman"/>
          <w:sz w:val="32"/>
          <w:szCs w:val="32"/>
        </w:rPr>
        <w:t>项目及时开展绩效自评，保障预算绩效管理工作顺利推进。做好绩效跟踪、绩效自评、绩效公开等工作。</w:t>
      </w:r>
    </w:p>
    <w:p>
      <w:pPr>
        <w:topLinePunct/>
        <w:spacing w:line="590" w:lineRule="exact"/>
        <w:ind w:firstLine="641"/>
        <w:rPr>
          <w:rFonts w:ascii="Times New Roman" w:hAnsi="Times New Roman" w:eastAsia="方正楷体_GBK" w:cs="Times New Roman"/>
          <w:sz w:val="32"/>
          <w:szCs w:val="32"/>
        </w:rPr>
      </w:pPr>
      <w:r>
        <w:rPr>
          <w:rFonts w:ascii="Times New Roman" w:eastAsia="方正楷体_GBK" w:cs="Times New Roman"/>
          <w:sz w:val="32"/>
          <w:szCs w:val="32"/>
        </w:rPr>
        <w:t>（二）部门整体支出自评结果</w:t>
      </w:r>
    </w:p>
    <w:p>
      <w:pPr>
        <w:topLinePunct/>
        <w:spacing w:line="590" w:lineRule="exact"/>
        <w:ind w:firstLine="641"/>
        <w:rPr>
          <w:rFonts w:ascii="Times New Roman" w:hAnsi="Times New Roman" w:eastAsia="方正仿宋_GBK" w:cs="Times New Roman"/>
          <w:sz w:val="32"/>
          <w:szCs w:val="32"/>
        </w:rPr>
      </w:pPr>
      <w:r>
        <w:rPr>
          <w:rFonts w:ascii="Times New Roman" w:hAnsi="方正仿宋_GBK" w:eastAsia="方正仿宋_GBK" w:cs="Times New Roman"/>
          <w:bCs/>
          <w:kern w:val="0"/>
          <w:sz w:val="32"/>
          <w:szCs w:val="32"/>
        </w:rPr>
        <w:t>元江哈尼族彝族傣族自治县</w:t>
      </w:r>
      <w:r>
        <w:rPr>
          <w:rFonts w:hint="eastAsia" w:hAnsi="方正仿宋_GBK" w:eastAsia="方正仿宋_GBK"/>
          <w:bCs/>
          <w:kern w:val="0"/>
          <w:sz w:val="32"/>
          <w:szCs w:val="32"/>
        </w:rPr>
        <w:t>曼来镇中心卫生院</w:t>
      </w:r>
      <w:r>
        <w:rPr>
          <w:rFonts w:ascii="Times New Roman" w:eastAsia="方正仿宋_GBK" w:cs="Times New Roman"/>
          <w:sz w:val="32"/>
          <w:szCs w:val="32"/>
        </w:rPr>
        <w:t>隶属元江哈尼族彝族傣族自治县卫生健康局，是二级预算单位，部门整体绩效评价由一级预算单位进行，因此，附表</w:t>
      </w:r>
      <w:r>
        <w:rPr>
          <w:rFonts w:ascii="Times New Roman" w:hAnsi="Times New Roman" w:eastAsia="方正仿宋_GBK" w:cs="Times New Roman"/>
          <w:sz w:val="32"/>
          <w:szCs w:val="32"/>
        </w:rPr>
        <w:t>10</w:t>
      </w:r>
      <w:r>
        <w:rPr>
          <w:rFonts w:ascii="Times New Roman" w:eastAsia="方正仿宋_GBK" w:cs="Times New Roman"/>
          <w:sz w:val="32"/>
          <w:szCs w:val="32"/>
        </w:rPr>
        <w:t>、附表</w:t>
      </w:r>
      <w:r>
        <w:rPr>
          <w:rFonts w:ascii="Times New Roman" w:hAnsi="Times New Roman" w:eastAsia="方正仿宋_GBK" w:cs="Times New Roman"/>
          <w:sz w:val="32"/>
          <w:szCs w:val="32"/>
        </w:rPr>
        <w:t>11</w:t>
      </w:r>
      <w:r>
        <w:rPr>
          <w:rFonts w:ascii="Times New Roman" w:eastAsia="方正仿宋_GBK" w:cs="Times New Roman"/>
          <w:sz w:val="32"/>
          <w:szCs w:val="32"/>
        </w:rPr>
        <w:t>无数据。</w:t>
      </w:r>
    </w:p>
    <w:p>
      <w:pPr>
        <w:topLinePunct/>
        <w:spacing w:line="590" w:lineRule="exact"/>
        <w:ind w:firstLine="641"/>
        <w:rPr>
          <w:rFonts w:ascii="Times New Roman" w:hAnsi="Times New Roman" w:eastAsia="方正楷体_GBK" w:cs="Times New Roman"/>
          <w:sz w:val="32"/>
          <w:szCs w:val="32"/>
        </w:rPr>
      </w:pPr>
      <w:r>
        <w:rPr>
          <w:rFonts w:ascii="Times New Roman" w:eastAsia="方正楷体_GBK" w:cs="Times New Roman"/>
          <w:sz w:val="32"/>
          <w:szCs w:val="32"/>
        </w:rPr>
        <w:t>（三）部门决算中项目支出自评结果</w:t>
      </w:r>
    </w:p>
    <w:p>
      <w:pPr>
        <w:topLinePunct/>
        <w:spacing w:line="590" w:lineRule="exact"/>
        <w:ind w:firstLine="641"/>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2021年政府采购预算</w:t>
      </w:r>
      <w:r>
        <w:rPr>
          <w:rFonts w:ascii="Times New Roman" w:hAnsi="Times New Roman" w:eastAsia="方正仿宋_GBK" w:cs="Times New Roman"/>
          <w:bCs/>
          <w:color w:val="000000"/>
          <w:sz w:val="32"/>
          <w:szCs w:val="32"/>
        </w:rPr>
        <w:t>资金总额130.73万元，实际</w:t>
      </w:r>
      <w:r>
        <w:rPr>
          <w:rFonts w:hint="eastAsia" w:ascii="Times New Roman" w:hAnsi="Times New Roman" w:eastAsia="方正仿宋_GBK" w:cs="Times New Roman"/>
          <w:bCs/>
          <w:color w:val="000000"/>
          <w:sz w:val="32"/>
          <w:szCs w:val="32"/>
        </w:rPr>
        <w:t>采购</w:t>
      </w:r>
      <w:r>
        <w:rPr>
          <w:rFonts w:ascii="Times New Roman" w:hAnsi="Times New Roman" w:eastAsia="方正仿宋_GBK" w:cs="Times New Roman"/>
          <w:bCs/>
          <w:color w:val="000000"/>
          <w:sz w:val="32"/>
          <w:szCs w:val="32"/>
        </w:rPr>
        <w:t>14.24万元，为单位开展医疗服务提供了相应的硬件设施，提高了医疗服务能力。该项目自评得分64.09分，自评等级为中。</w:t>
      </w:r>
    </w:p>
    <w:p>
      <w:pPr>
        <w:topLinePunct/>
        <w:spacing w:line="590" w:lineRule="exact"/>
        <w:ind w:firstLine="641"/>
        <w:rPr>
          <w:rFonts w:ascii="Times New Roman" w:hAnsi="Times New Roman" w:eastAsia="方正仿宋_GBK" w:cs="Times New Roman"/>
          <w:bCs/>
          <w:kern w:val="0"/>
          <w:sz w:val="32"/>
          <w:szCs w:val="32"/>
        </w:rPr>
      </w:pPr>
      <w:r>
        <w:rPr>
          <w:rFonts w:ascii="Times New Roman" w:hAnsi="Times New Roman" w:eastAsia="方正仿宋_GBK" w:cs="Times New Roman"/>
          <w:sz w:val="32"/>
          <w:szCs w:val="32"/>
        </w:rPr>
        <w:t>部门绩效自评情况详见附表（附表12）。</w:t>
      </w:r>
    </w:p>
    <w:p>
      <w:pPr>
        <w:spacing w:line="59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五、其他重要事项情况说明</w:t>
      </w:r>
    </w:p>
    <w:p>
      <w:pPr>
        <w:spacing w:line="590" w:lineRule="exact"/>
        <w:ind w:firstLine="640" w:firstLineChars="200"/>
        <w:rPr>
          <w:rFonts w:ascii="Times New Roman" w:hAnsi="Times New Roman" w:eastAsia="方正仿宋_GBK" w:cs="Times New Roman"/>
          <w:bCs/>
          <w:color w:val="000000"/>
          <w:sz w:val="32"/>
          <w:szCs w:val="32"/>
        </w:rPr>
      </w:pPr>
      <w:r>
        <w:rPr>
          <w:rFonts w:hint="eastAsia" w:ascii="方正楷体_GBK" w:hAnsi="方正楷体_GBK" w:eastAsia="方正楷体_GBK" w:cs="方正楷体_GBK"/>
          <w:bCs/>
          <w:color w:val="000000"/>
          <w:sz w:val="32"/>
          <w:szCs w:val="32"/>
        </w:rPr>
        <w:t>（一）</w:t>
      </w:r>
      <w:r>
        <w:rPr>
          <w:rFonts w:ascii="Times New Roman" w:hAnsi="Times New Roman" w:eastAsia="方正仿宋_GBK" w:cs="Times New Roman"/>
          <w:bCs/>
          <w:color w:val="000000"/>
          <w:sz w:val="32"/>
          <w:szCs w:val="32"/>
        </w:rPr>
        <w:t>截至2021年12月31日，元江哈尼族彝族傣族自治县曼来镇中心卫生院固定资产原值707.34万元，累计折旧403.79万元，固定资产净值303.55万元。</w:t>
      </w:r>
    </w:p>
    <w:p>
      <w:pPr>
        <w:spacing w:line="590" w:lineRule="exact"/>
        <w:ind w:firstLine="640" w:firstLineChars="200"/>
        <w:rPr>
          <w:rFonts w:ascii="Times New Roman" w:hAnsi="Times New Roman" w:eastAsia="方正仿宋_GBK" w:cs="Times New Roman"/>
          <w:bCs/>
          <w:color w:val="000000"/>
          <w:sz w:val="32"/>
          <w:szCs w:val="32"/>
        </w:rPr>
      </w:pPr>
      <w:r>
        <w:rPr>
          <w:rFonts w:hint="eastAsia" w:ascii="方正楷体_GBK" w:hAnsi="方正楷体_GBK" w:eastAsia="方正楷体_GBK" w:cs="方正楷体_GBK"/>
          <w:bCs/>
          <w:color w:val="000000"/>
          <w:sz w:val="32"/>
          <w:szCs w:val="32"/>
        </w:rPr>
        <w:t>（二）</w:t>
      </w:r>
      <w:r>
        <w:rPr>
          <w:rFonts w:ascii="Times New Roman" w:hAnsi="Times New Roman" w:eastAsia="方正仿宋_GBK" w:cs="Times New Roman"/>
          <w:bCs/>
          <w:color w:val="000000"/>
          <w:sz w:val="32"/>
          <w:szCs w:val="32"/>
        </w:rPr>
        <w:t>无形资产为单独计价入账的医疗慈善用地款，名义金额价值为0.0001万元，不摊销。</w:t>
      </w:r>
    </w:p>
    <w:p>
      <w:pPr>
        <w:spacing w:line="59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六、相关口径说明</w:t>
      </w:r>
    </w:p>
    <w:p>
      <w:pPr>
        <w:topLinePunct/>
        <w:spacing w:line="590" w:lineRule="exact"/>
        <w:ind w:firstLine="640" w:firstLineChars="200"/>
        <w:rPr>
          <w:rFonts w:ascii="Times New Roman" w:hAnsi="Times New Roman" w:cs="Times New Roman"/>
          <w:bCs/>
        </w:rPr>
      </w:pPr>
      <w:r>
        <w:rPr>
          <w:rFonts w:hint="eastAsia" w:ascii="方正楷体_GBK" w:hAnsi="方正楷体_GBK" w:eastAsia="方正楷体_GBK" w:cs="方正楷体_GBK"/>
          <w:bCs/>
          <w:sz w:val="32"/>
          <w:szCs w:val="32"/>
        </w:rPr>
        <w:t>（一）</w:t>
      </w:r>
      <w:r>
        <w:rPr>
          <w:rFonts w:ascii="Times New Roman" w:hAnsi="Times New Roman" w:eastAsia="方正仿宋_GBK" w:cs="Times New Roman"/>
          <w:bCs/>
          <w:sz w:val="32"/>
          <w:szCs w:val="32"/>
        </w:rPr>
        <w:t>基本支出中人员经费包括工资福利支出和对个人和家庭的补助，公用经费包括商品和服务支出、资本性支出等人员经费以外的支出。</w:t>
      </w:r>
    </w:p>
    <w:p>
      <w:pPr>
        <w:topLinePunct/>
        <w:spacing w:line="590" w:lineRule="exact"/>
        <w:ind w:firstLine="640" w:firstLineChars="200"/>
        <w:rPr>
          <w:rFonts w:ascii="Times New Roman" w:hAnsi="Times New Roman" w:cs="Times New Roman"/>
          <w:bCs/>
        </w:rPr>
      </w:pPr>
      <w:r>
        <w:rPr>
          <w:rFonts w:hint="eastAsia" w:ascii="方正楷体_GBK" w:hAnsi="方正楷体_GBK" w:eastAsia="方正楷体_GBK" w:cs="方正楷体_GBK"/>
          <w:bCs/>
          <w:sz w:val="32"/>
          <w:szCs w:val="32"/>
        </w:rPr>
        <w:t>（二）</w:t>
      </w:r>
      <w:r>
        <w:rPr>
          <w:rFonts w:ascii="Times New Roman" w:hAnsi="Times New Roman" w:eastAsia="方正仿宋_GBK" w:cs="Times New Roman"/>
          <w:bCs/>
          <w:sz w:val="32"/>
          <w:szCs w:val="32"/>
        </w:rPr>
        <w:t>机关运行经费指行政单位和参照公务员法管理的事业单位使用一般公共预算财政拨款安排的基本支出中的公用经费支出。</w:t>
      </w:r>
    </w:p>
    <w:p>
      <w:pPr>
        <w:topLinePunct/>
        <w:spacing w:line="590" w:lineRule="exact"/>
        <w:ind w:firstLine="640" w:firstLineChars="200"/>
        <w:rPr>
          <w:rFonts w:ascii="Times New Roman" w:hAnsi="Times New Roman" w:cs="Times New Roman"/>
          <w:bCs/>
        </w:rPr>
      </w:pPr>
      <w:r>
        <w:rPr>
          <w:rFonts w:hint="eastAsia" w:ascii="方正楷体_GBK" w:hAnsi="方正楷体_GBK" w:eastAsia="方正楷体_GBK" w:cs="方正楷体_GBK"/>
          <w:bCs/>
          <w:sz w:val="32"/>
          <w:szCs w:val="32"/>
        </w:rPr>
        <w:t>（三）</w:t>
      </w:r>
      <w:r>
        <w:rPr>
          <w:rFonts w:ascii="Times New Roman" w:hAnsi="Times New Roman" w:eastAsia="方正仿宋_GBK" w:cs="Times New Roman"/>
          <w:bCs/>
          <w:sz w:val="32"/>
          <w:szCs w:val="32"/>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spacing w:line="590" w:lineRule="exact"/>
        <w:ind w:firstLine="640" w:firstLineChars="200"/>
        <w:rPr>
          <w:rFonts w:ascii="Times New Roman" w:hAnsi="Times New Roman" w:eastAsia="方正仿宋_GBK" w:cs="Times New Roman"/>
          <w:bCs/>
          <w:sz w:val="32"/>
          <w:szCs w:val="32"/>
        </w:rPr>
      </w:pPr>
      <w:r>
        <w:rPr>
          <w:rFonts w:hint="eastAsia" w:ascii="方正楷体_GBK" w:hAnsi="方正楷体_GBK" w:eastAsia="方正楷体_GBK" w:cs="方正楷体_GBK"/>
          <w:bCs/>
          <w:sz w:val="32"/>
          <w:szCs w:val="32"/>
        </w:rPr>
        <w:t>（四）</w:t>
      </w:r>
      <w:r>
        <w:rPr>
          <w:rFonts w:ascii="Times New Roman" w:hAnsi="Times New Roman" w:eastAsia="方正仿宋_GBK" w:cs="Times New Roman"/>
          <w:bCs/>
          <w:sz w:val="32"/>
          <w:szCs w:val="32"/>
        </w:rPr>
        <w:t>“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spacing w:line="590" w:lineRule="exact"/>
        <w:jc w:val="center"/>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第五部分  名词解释</w:t>
      </w:r>
    </w:p>
    <w:p>
      <w:pPr>
        <w:topLinePunct/>
        <w:spacing w:line="590" w:lineRule="exact"/>
        <w:ind w:firstLine="640" w:firstLineChars="200"/>
        <w:rPr>
          <w:rFonts w:ascii="Times New Roman" w:hAnsi="Times New Roman" w:cs="Times New Roman"/>
          <w:bCs/>
        </w:rPr>
      </w:pPr>
      <w:r>
        <w:rPr>
          <w:rFonts w:ascii="Times New Roman" w:hAnsi="Times New Roman" w:eastAsia="方正黑体_GBK" w:cs="Times New Roman"/>
          <w:bCs/>
          <w:sz w:val="32"/>
          <w:szCs w:val="32"/>
        </w:rPr>
        <w:t>一、政府采购：</w:t>
      </w:r>
      <w:r>
        <w:rPr>
          <w:rFonts w:ascii="Times New Roman" w:hAnsi="Times New Roman" w:eastAsia="方正仿宋_GBK" w:cs="Times New Roman"/>
          <w:bCs/>
          <w:sz w:val="32"/>
          <w:szCs w:val="32"/>
        </w:rPr>
        <w:t>是指各级国家机关、事业单位和团体组织，使用财政性资金采购依法制定的集中采购目录以内的或者采购限额标准以上的货物、工程和服务的行为。</w:t>
      </w:r>
    </w:p>
    <w:p>
      <w:pPr>
        <w:topLinePunct/>
        <w:spacing w:line="590" w:lineRule="exact"/>
        <w:ind w:firstLine="640" w:firstLineChars="200"/>
        <w:rPr>
          <w:rFonts w:ascii="Times New Roman" w:hAnsi="Times New Roman" w:cs="Times New Roman"/>
          <w:bCs/>
        </w:rPr>
      </w:pPr>
      <w:r>
        <w:rPr>
          <w:rFonts w:ascii="Times New Roman" w:hAnsi="Times New Roman" w:eastAsia="方正黑体_GBK" w:cs="Times New Roman"/>
          <w:bCs/>
          <w:sz w:val="32"/>
          <w:szCs w:val="32"/>
        </w:rPr>
        <w:t>二、一般公共预算收入：</w:t>
      </w:r>
      <w:r>
        <w:rPr>
          <w:rFonts w:ascii="Times New Roman" w:hAnsi="Times New Roman" w:eastAsia="方正仿宋_GBK" w:cs="Times New Roman"/>
          <w:bCs/>
          <w:sz w:val="32"/>
          <w:szCs w:val="32"/>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spacing w:line="590" w:lineRule="exact"/>
        <w:ind w:firstLine="640" w:firstLineChars="200"/>
        <w:rPr>
          <w:rFonts w:ascii="Times New Roman" w:hAnsi="Times New Roman" w:eastAsia="方正仿宋_GBK" w:cs="Times New Roman"/>
          <w:bCs/>
          <w:sz w:val="32"/>
          <w:szCs w:val="32"/>
        </w:rPr>
      </w:pPr>
      <w:r>
        <w:rPr>
          <w:rFonts w:ascii="Times New Roman" w:hAnsi="Times New Roman" w:eastAsia="方正黑体_GBK" w:cs="Times New Roman"/>
          <w:bCs/>
          <w:sz w:val="32"/>
          <w:szCs w:val="32"/>
        </w:rPr>
        <w:t>三、一般公共预算支出：</w:t>
      </w:r>
      <w:r>
        <w:rPr>
          <w:rFonts w:ascii="Times New Roman" w:hAnsi="Times New Roman" w:eastAsia="方正仿宋_GBK" w:cs="Times New Roman"/>
          <w:bCs/>
          <w:sz w:val="32"/>
          <w:szCs w:val="32"/>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spacing w:line="59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四、“三公”经费：</w:t>
      </w:r>
      <w:r>
        <w:rPr>
          <w:rFonts w:ascii="Times New Roman" w:hAnsi="Times New Roman" w:eastAsia="方正仿宋_GBK" w:cs="Times New Roman"/>
          <w:bCs/>
          <w:sz w:val="32"/>
          <w:szCs w:val="32"/>
        </w:rPr>
        <w:t>“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spacing w:line="590" w:lineRule="exact"/>
        <w:rPr>
          <w:rFonts w:ascii="Times New Roman" w:hAnsi="Times New Roman" w:eastAsia="方正仿宋_GBK" w:cs="Times New Roman"/>
          <w:bCs/>
          <w:sz w:val="32"/>
          <w:szCs w:val="32"/>
        </w:rPr>
      </w:pPr>
    </w:p>
    <w:p>
      <w:pPr>
        <w:spacing w:line="590" w:lineRule="exact"/>
        <w:rPr>
          <w:rFonts w:ascii="Arial" w:hAnsi="Arial" w:eastAsia="Arial" w:cs="Arial"/>
          <w:bCs/>
          <w:sz w:val="36"/>
        </w:rPr>
      </w:pPr>
      <w:r>
        <w:rPr>
          <w:rFonts w:ascii="Times New Roman" w:hAnsi="Times New Roman" w:eastAsia="方正仿宋_GBK" w:cs="Times New Roman"/>
          <w:bCs/>
          <w:sz w:val="32"/>
          <w:szCs w:val="32"/>
        </w:rPr>
        <w:t>监督索引号53042800236100801111</w:t>
      </w:r>
    </w:p>
    <w:sectPr>
      <w:footerReference r:id="rId3" w:type="default"/>
      <w:pgSz w:w="11906" w:h="16838"/>
      <w:pgMar w:top="2041" w:right="1474" w:bottom="1304" w:left="1587" w:header="1361" w:footer="119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47130820"/>
                </w:sdtPr>
                <w:sdtContent>
                  <w:p>
                    <w:pPr>
                      <w:pStyle w:val="4"/>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16 -</w:t>
                    </w:r>
                    <w:r>
                      <w:rPr>
                        <w:rFonts w:ascii="Times New Roman" w:hAnsi="Times New Roman" w:cs="Times New Roman"/>
                        <w:sz w:val="28"/>
                        <w:szCs w:val="28"/>
                      </w:rPr>
                      <w:fldChar w:fldCharType="end"/>
                    </w:r>
                  </w:p>
                </w:sdtContent>
              </w:sdt>
              <w:p>
                <w:pPr>
                  <w:pStyle w:val="2"/>
                  <w:spacing w:before="72"/>
                </w:pP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k0NTJjZGQ0ZDVjZWJhMWFmZmZmMTQ4YzJlZjlhNjMifQ=="/>
  </w:docVars>
  <w:rsids>
    <w:rsidRoot w:val="00796B61"/>
    <w:rsid w:val="00056A8F"/>
    <w:rsid w:val="000D4422"/>
    <w:rsid w:val="000E46FB"/>
    <w:rsid w:val="00105E8B"/>
    <w:rsid w:val="00181AD4"/>
    <w:rsid w:val="002B0A72"/>
    <w:rsid w:val="00322255"/>
    <w:rsid w:val="003359FD"/>
    <w:rsid w:val="003532F7"/>
    <w:rsid w:val="003A61CC"/>
    <w:rsid w:val="003F0FF3"/>
    <w:rsid w:val="004023CE"/>
    <w:rsid w:val="00422695"/>
    <w:rsid w:val="004B76BD"/>
    <w:rsid w:val="004D68B3"/>
    <w:rsid w:val="005175AD"/>
    <w:rsid w:val="00574E69"/>
    <w:rsid w:val="00595560"/>
    <w:rsid w:val="005B4F28"/>
    <w:rsid w:val="00623845"/>
    <w:rsid w:val="00661493"/>
    <w:rsid w:val="006730CC"/>
    <w:rsid w:val="006E05F6"/>
    <w:rsid w:val="00796B61"/>
    <w:rsid w:val="007B5DBC"/>
    <w:rsid w:val="007F291B"/>
    <w:rsid w:val="008336D2"/>
    <w:rsid w:val="00834F77"/>
    <w:rsid w:val="008B46EB"/>
    <w:rsid w:val="008E25F0"/>
    <w:rsid w:val="009262B6"/>
    <w:rsid w:val="009A215D"/>
    <w:rsid w:val="009A2A91"/>
    <w:rsid w:val="00A06409"/>
    <w:rsid w:val="00A5155A"/>
    <w:rsid w:val="00A73683"/>
    <w:rsid w:val="00B11A5C"/>
    <w:rsid w:val="00B15DD5"/>
    <w:rsid w:val="00B24F69"/>
    <w:rsid w:val="00B33FDD"/>
    <w:rsid w:val="00B75A76"/>
    <w:rsid w:val="00BC3E87"/>
    <w:rsid w:val="00BD20CD"/>
    <w:rsid w:val="00BF045B"/>
    <w:rsid w:val="00CC0F23"/>
    <w:rsid w:val="00CD0FE8"/>
    <w:rsid w:val="00D01BEB"/>
    <w:rsid w:val="00D06C2D"/>
    <w:rsid w:val="00D17BAA"/>
    <w:rsid w:val="00D6331B"/>
    <w:rsid w:val="00DD758A"/>
    <w:rsid w:val="00E1425E"/>
    <w:rsid w:val="00E20910"/>
    <w:rsid w:val="00E46687"/>
    <w:rsid w:val="00E503FF"/>
    <w:rsid w:val="00EA4BB6"/>
    <w:rsid w:val="00EE200A"/>
    <w:rsid w:val="00F31930"/>
    <w:rsid w:val="00F55ACD"/>
    <w:rsid w:val="00F848C2"/>
    <w:rsid w:val="00FB1146"/>
    <w:rsid w:val="00FC0F7F"/>
    <w:rsid w:val="037134C2"/>
    <w:rsid w:val="04641D5F"/>
    <w:rsid w:val="10507CE0"/>
    <w:rsid w:val="1F721A21"/>
    <w:rsid w:val="23CC788F"/>
    <w:rsid w:val="2DCE2050"/>
    <w:rsid w:val="3D515A1B"/>
    <w:rsid w:val="4C527E07"/>
    <w:rsid w:val="4F716D4F"/>
    <w:rsid w:val="5707475A"/>
    <w:rsid w:val="59273CA4"/>
    <w:rsid w:val="636D5D54"/>
    <w:rsid w:val="63CC5D92"/>
    <w:rsid w:val="6D340F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semiHidden/>
    <w:unhideWhenUsed/>
    <w:qFormat/>
    <w:uiPriority w:val="99"/>
    <w:pPr>
      <w:spacing w:beforeLines="30"/>
    </w:pPr>
    <w:rPr>
      <w:rFonts w:ascii="仿宋_GB2312" w:hAnsi="Times New Roman" w:eastAsia="仿宋_GB2312" w:cs="Times New Roman"/>
      <w:sz w:val="30"/>
      <w:szCs w:val="24"/>
    </w:rPr>
  </w:style>
  <w:style w:type="paragraph" w:styleId="3">
    <w:name w:val="Balloon Text"/>
    <w:basedOn w:val="1"/>
    <w:link w:val="15"/>
    <w:semiHidden/>
    <w:unhideWhenUsed/>
    <w:qFormat/>
    <w:uiPriority w:val="99"/>
    <w:pPr>
      <w:widowControl/>
      <w:jc w:val="left"/>
    </w:pPr>
    <w:rPr>
      <w:rFonts w:ascii="Times New Roman" w:hAnsi="Times New Roman" w:eastAsia="宋体" w:cs="Times New Roman"/>
      <w:kern w:val="0"/>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rPr>
  </w:style>
  <w:style w:type="character" w:customStyle="1" w:styleId="10">
    <w:name w:val="正文文本 Char"/>
    <w:basedOn w:val="8"/>
    <w:link w:val="2"/>
    <w:semiHidden/>
    <w:qFormat/>
    <w:uiPriority w:val="99"/>
    <w:rPr>
      <w:rFonts w:ascii="仿宋_GB2312" w:hAnsi="Times New Roman" w:eastAsia="仿宋_GB2312" w:cs="Times New Roman"/>
      <w:sz w:val="30"/>
      <w:szCs w:val="24"/>
    </w:rPr>
  </w:style>
  <w:style w:type="character" w:customStyle="1" w:styleId="11">
    <w:name w:val="NormalCharacter"/>
    <w:semiHidden/>
    <w:qFormat/>
    <w:uiPriority w:val="0"/>
    <w:rPr>
      <w:rFonts w:hint="default" w:ascii="Calibri" w:hAnsi="Calibri" w:eastAsia="宋体" w:cs="Times New Roman"/>
      <w:kern w:val="2"/>
      <w:sz w:val="21"/>
      <w:szCs w:val="24"/>
      <w:lang w:val="en-US" w:eastAsia="zh-CN" w:bidi="ar-SA"/>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qFormat/>
    <w:uiPriority w:val="99"/>
    <w:rPr>
      <w:sz w:val="18"/>
      <w:szCs w:val="18"/>
    </w:rPr>
  </w:style>
  <w:style w:type="paragraph" w:customStyle="1" w:styleId="14">
    <w:name w:val="p_MsoNormal"/>
    <w:basedOn w:val="1"/>
    <w:qFormat/>
    <w:uiPriority w:val="0"/>
    <w:pPr>
      <w:widowControl/>
      <w:jc w:val="left"/>
    </w:pPr>
    <w:rPr>
      <w:rFonts w:ascii="宋体" w:hAnsi="宋体" w:eastAsia="宋体" w:cs="宋体"/>
      <w:kern w:val="0"/>
      <w:sz w:val="24"/>
      <w:szCs w:val="24"/>
    </w:rPr>
  </w:style>
  <w:style w:type="character" w:customStyle="1" w:styleId="15">
    <w:name w:val="批注框文本 Char"/>
    <w:basedOn w:val="8"/>
    <w:link w:val="3"/>
    <w:semiHidden/>
    <w:qFormat/>
    <w:uiPriority w:val="99"/>
    <w:rPr>
      <w:rFonts w:ascii="Times New Roman" w:hAnsi="Times New Roman" w:eastAsia="宋体" w:cs="Times New Roman"/>
      <w:kern w:val="0"/>
      <w:sz w:val="18"/>
      <w:szCs w:val="18"/>
    </w:rPr>
  </w:style>
  <w:style w:type="table" w:customStyle="1" w:styleId="16">
    <w:name w:val="table_MsoNormalTable"/>
    <w:basedOn w:val="7"/>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7853</Words>
  <Characters>8968</Characters>
  <Lines>65</Lines>
  <Paragraphs>18</Paragraphs>
  <TotalTime>11</TotalTime>
  <ScaleCrop>false</ScaleCrop>
  <LinksUpToDate>false</LinksUpToDate>
  <CharactersWithSpaces>8997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2022-10-09T01:12:00Z</dcterms:created>
  <dc:creator>admin</dc:creator>
  <cp:lastModifiedBy>asus</cp:lastModifiedBy>
  <dcterms:modified xsi:type="dcterms:W3CDTF">2022-11-18T04:10:45Z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85C74692E4B64268B3C6C4BDF848C585</vt:lpwstr>
  </property>
  <property fmtid="{D5CDD505-2E9C-101B-9397-08002B2CF9AE}" pid="3" name="KSOProductBuildVer">
    <vt:lpwstr>2052-11.1.0.12763</vt:lpwstr>
  </property>
</Properties>
</file>