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监督索引号53042800332600201000</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bidi="ar"/>
        </w:rPr>
        <w:t>元江哈尼族彝族傣族自治县种子管理站</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val="en-US" w:eastAsia="zh-CN" w:bidi="ar"/>
        </w:rPr>
        <w:t>2021</w:t>
      </w:r>
      <w:r>
        <w:rPr>
          <w:rFonts w:hint="default" w:ascii="Times New Roman" w:hAnsi="Times New Roman" w:eastAsia="方正小标宋_GBK" w:cs="Times New Roman"/>
          <w:kern w:val="0"/>
          <w:sz w:val="44"/>
          <w:szCs w:val="44"/>
          <w:lang w:bidi="ar"/>
        </w:rPr>
        <w:t>年度部门决算</w:t>
      </w:r>
      <w:r>
        <w:rPr>
          <w:rFonts w:hint="default" w:ascii="Times New Roman" w:hAnsi="Times New Roman" w:eastAsia="方正小标宋_GBK" w:cs="Times New Roman"/>
          <w:kern w:val="0"/>
          <w:sz w:val="44"/>
          <w:szCs w:val="44"/>
          <w:lang w:eastAsia="zh-CN" w:bidi="ar"/>
        </w:rPr>
        <w:t>公开</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kern w:val="0"/>
          <w:sz w:val="44"/>
          <w:szCs w:val="44"/>
          <w:lang w:eastAsia="zh-CN" w:bidi="ar"/>
        </w:rPr>
      </w:pPr>
      <w:r>
        <w:rPr>
          <w:rFonts w:hint="default" w:ascii="Times New Roman" w:hAnsi="Times New Roman" w:eastAsia="方正小标宋_GBK" w:cs="Times New Roman"/>
          <w:kern w:val="0"/>
          <w:sz w:val="44"/>
          <w:szCs w:val="44"/>
          <w:lang w:eastAsia="zh-CN" w:bidi="ar"/>
        </w:rPr>
        <w:t>目录</w:t>
      </w:r>
    </w:p>
    <w:p>
      <w:pPr>
        <w:jc w:val="left"/>
        <w:rPr>
          <w:rFonts w:hint="default" w:ascii="Times New Roman" w:hAnsi="Times New Roman" w:eastAsia="黑体" w:cs="Times New Roman"/>
          <w:sz w:val="30"/>
          <w:szCs w:val="30"/>
        </w:rPr>
      </w:pP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黑体_GBK" w:cs="Times New Roman"/>
          <w:b/>
          <w:bCs/>
          <w:kern w:val="0"/>
          <w:sz w:val="32"/>
          <w:szCs w:val="32"/>
          <w:lang w:val="en-US" w:eastAsia="zh-CN" w:bidi="ar"/>
        </w:rPr>
      </w:pPr>
      <w:r>
        <w:rPr>
          <w:rFonts w:hint="default" w:ascii="Times New Roman" w:hAnsi="Times New Roman" w:eastAsia="方正黑体_GBK" w:cs="Times New Roman"/>
          <w:b/>
          <w:bCs/>
          <w:kern w:val="0"/>
          <w:sz w:val="32"/>
          <w:szCs w:val="32"/>
          <w:lang w:bidi="ar"/>
        </w:rPr>
        <w:t>第</w:t>
      </w:r>
      <w:r>
        <w:rPr>
          <w:rFonts w:hint="default" w:ascii="Times New Roman" w:hAnsi="Times New Roman" w:eastAsia="方正黑体_GBK" w:cs="Times New Roman"/>
          <w:b/>
          <w:bCs/>
          <w:kern w:val="0"/>
          <w:sz w:val="32"/>
          <w:szCs w:val="32"/>
          <w:lang w:eastAsia="zh-CN" w:bidi="ar"/>
        </w:rPr>
        <w:t>一</w:t>
      </w:r>
      <w:r>
        <w:rPr>
          <w:rFonts w:hint="default" w:ascii="Times New Roman" w:hAnsi="Times New Roman" w:eastAsia="方正黑体_GBK" w:cs="Times New Roman"/>
          <w:b/>
          <w:bCs/>
          <w:kern w:val="0"/>
          <w:sz w:val="32"/>
          <w:szCs w:val="32"/>
          <w:lang w:bidi="ar"/>
        </w:rPr>
        <w:t xml:space="preserve">部分 </w:t>
      </w:r>
      <w:r>
        <w:rPr>
          <w:rFonts w:hint="default" w:ascii="Times New Roman" w:hAnsi="Times New Roman" w:eastAsia="方正黑体_GBK" w:cs="Times New Roman"/>
          <w:b/>
          <w:bCs/>
          <w:kern w:val="0"/>
          <w:sz w:val="32"/>
          <w:szCs w:val="32"/>
          <w:lang w:val="en-US" w:eastAsia="zh-CN" w:bidi="ar"/>
        </w:rPr>
        <w:t>元江哈尼族彝族傣族自治县种子管理站概况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一、主要职能</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二、部门基本情况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b/>
          <w:bCs/>
          <w:kern w:val="0"/>
          <w:sz w:val="32"/>
          <w:szCs w:val="32"/>
          <w:lang w:bidi="ar"/>
        </w:rPr>
      </w:pPr>
      <w:r>
        <w:rPr>
          <w:rFonts w:hint="default" w:ascii="Times New Roman" w:hAnsi="Times New Roman" w:eastAsia="方正黑体_GBK" w:cs="Times New Roman"/>
          <w:b/>
          <w:bCs/>
          <w:kern w:val="0"/>
          <w:sz w:val="32"/>
          <w:szCs w:val="32"/>
          <w:lang w:bidi="ar"/>
        </w:rPr>
        <w:t xml:space="preserve">第二部分  </w:t>
      </w:r>
      <w:r>
        <w:rPr>
          <w:rFonts w:hint="default" w:ascii="Times New Roman" w:hAnsi="Times New Roman" w:eastAsia="方正黑体_GBK" w:cs="Times New Roman"/>
          <w:b/>
          <w:bCs/>
          <w:kern w:val="0"/>
          <w:sz w:val="32"/>
          <w:szCs w:val="32"/>
          <w:lang w:val="en-US" w:eastAsia="zh-CN" w:bidi="ar"/>
        </w:rPr>
        <w:t>2021</w:t>
      </w:r>
      <w:r>
        <w:rPr>
          <w:rFonts w:hint="default" w:ascii="Times New Roman" w:hAnsi="Times New Roman" w:eastAsia="方正黑体_GBK" w:cs="Times New Roman"/>
          <w:b/>
          <w:bCs/>
          <w:kern w:val="0"/>
          <w:sz w:val="32"/>
          <w:szCs w:val="32"/>
          <w:lang w:bidi="ar"/>
        </w:rPr>
        <w:t>年度部门决算表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一、收入支出决算总表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二、收入决算表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三、支出决算表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四、财政拨款收入支出决算总表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五、一般公共预算财政拨款收入支出决算表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六、一般公共预算财政拨款基本支出决算表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七、政府性基金预算财政拨款收入支出决算表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八、国有资本经营预算财政拨款收入支出决算表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楷体" w:cs="Times New Roman"/>
          <w:sz w:val="30"/>
          <w:szCs w:val="30"/>
        </w:rPr>
      </w:pPr>
      <w:r>
        <w:rPr>
          <w:rFonts w:hint="default" w:ascii="Times New Roman" w:hAnsi="Times New Roman" w:eastAsia="方正楷体_GBK" w:cs="Times New Roman"/>
          <w:kern w:val="0"/>
          <w:sz w:val="32"/>
          <w:szCs w:val="32"/>
          <w:lang w:eastAsia="zh-CN" w:bidi="ar"/>
        </w:rPr>
        <w:t>九</w:t>
      </w:r>
      <w:r>
        <w:rPr>
          <w:rFonts w:hint="default" w:ascii="Times New Roman" w:hAnsi="Times New Roman" w:eastAsia="方正楷体_GBK" w:cs="Times New Roman"/>
          <w:kern w:val="0"/>
          <w:sz w:val="32"/>
          <w:szCs w:val="32"/>
          <w:lang w:bidi="ar"/>
        </w:rPr>
        <w:t>、“三公”经费、行政参公单位机关运行经费情况表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b/>
          <w:bCs/>
          <w:kern w:val="0"/>
          <w:sz w:val="32"/>
          <w:szCs w:val="32"/>
          <w:lang w:bidi="ar"/>
        </w:rPr>
      </w:pPr>
      <w:r>
        <w:rPr>
          <w:rFonts w:hint="default" w:ascii="Times New Roman" w:hAnsi="Times New Roman" w:eastAsia="方正黑体_GBK" w:cs="Times New Roman"/>
          <w:b/>
          <w:bCs/>
          <w:kern w:val="0"/>
          <w:sz w:val="32"/>
          <w:szCs w:val="32"/>
          <w:lang w:bidi="ar"/>
        </w:rPr>
        <w:t>第三部</w:t>
      </w:r>
      <w:r>
        <w:rPr>
          <w:rFonts w:hint="default" w:ascii="Times New Roman" w:hAnsi="Times New Roman" w:eastAsia="方正黑体_GBK" w:cs="Times New Roman"/>
          <w:b/>
          <w:bCs/>
          <w:kern w:val="0"/>
          <w:sz w:val="32"/>
          <w:szCs w:val="32"/>
          <w:lang w:eastAsia="zh-CN" w:bidi="ar"/>
        </w:rPr>
        <w:t>分</w:t>
      </w:r>
      <w:r>
        <w:rPr>
          <w:rFonts w:hint="default" w:ascii="Times New Roman" w:hAnsi="Times New Roman" w:eastAsia="方正黑体_GBK" w:cs="Times New Roman"/>
          <w:b/>
          <w:bCs/>
          <w:kern w:val="0"/>
          <w:sz w:val="32"/>
          <w:szCs w:val="32"/>
          <w:lang w:bidi="ar"/>
        </w:rPr>
        <w:t xml:space="preserve">  </w:t>
      </w:r>
      <w:r>
        <w:rPr>
          <w:rFonts w:hint="default" w:ascii="Times New Roman" w:hAnsi="Times New Roman" w:eastAsia="方正黑体_GBK" w:cs="Times New Roman"/>
          <w:b/>
          <w:bCs/>
          <w:kern w:val="0"/>
          <w:sz w:val="32"/>
          <w:szCs w:val="32"/>
          <w:lang w:val="en-US" w:eastAsia="zh-CN" w:bidi="ar"/>
        </w:rPr>
        <w:t>2021</w:t>
      </w:r>
      <w:r>
        <w:rPr>
          <w:rFonts w:hint="default" w:ascii="Times New Roman" w:hAnsi="Times New Roman" w:eastAsia="方正黑体_GBK" w:cs="Times New Roman"/>
          <w:b/>
          <w:bCs/>
          <w:kern w:val="0"/>
          <w:sz w:val="32"/>
          <w:szCs w:val="32"/>
          <w:lang w:bidi="ar"/>
        </w:rPr>
        <w:t>年度部门决算情况说明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一、收入决算情况说明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二、支出决算情况说明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三、一般公共预算财政拨款支出决算情况说明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楷体_GBK" w:cs="Times New Roman"/>
          <w:kern w:val="0"/>
          <w:sz w:val="32"/>
          <w:szCs w:val="32"/>
          <w:lang w:bidi="ar"/>
        </w:rPr>
        <w:t>四、一般公共预算财政拨款“三公”经费支出决算情况说明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b/>
          <w:bCs/>
          <w:kern w:val="0"/>
          <w:sz w:val="32"/>
          <w:szCs w:val="32"/>
          <w:lang w:bidi="ar"/>
        </w:rPr>
      </w:pPr>
      <w:r>
        <w:rPr>
          <w:rFonts w:hint="default" w:ascii="Times New Roman" w:hAnsi="Times New Roman" w:eastAsia="方正黑体_GBK" w:cs="Times New Roman"/>
          <w:b/>
          <w:bCs/>
          <w:kern w:val="0"/>
          <w:sz w:val="32"/>
          <w:szCs w:val="32"/>
          <w:lang w:eastAsia="zh-CN" w:bidi="ar"/>
        </w:rPr>
        <w:t>第四部分</w:t>
      </w:r>
      <w:r>
        <w:rPr>
          <w:rFonts w:hint="default" w:ascii="Times New Roman" w:hAnsi="Times New Roman" w:eastAsia="方正黑体_GBK" w:cs="Times New Roman"/>
          <w:b/>
          <w:bCs/>
          <w:kern w:val="0"/>
          <w:sz w:val="32"/>
          <w:szCs w:val="32"/>
          <w:lang w:val="en-US" w:eastAsia="zh-CN" w:bidi="ar"/>
        </w:rPr>
        <w:t xml:space="preserve">  </w:t>
      </w:r>
      <w:r>
        <w:rPr>
          <w:rFonts w:hint="default" w:ascii="Times New Roman" w:hAnsi="Times New Roman" w:eastAsia="方正黑体_GBK" w:cs="Times New Roman"/>
          <w:b/>
          <w:bCs/>
          <w:kern w:val="0"/>
          <w:sz w:val="32"/>
          <w:szCs w:val="32"/>
          <w:lang w:bidi="ar"/>
        </w:rPr>
        <w:t>其他重要事项及相关口径情况说明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eastAsia="zh-CN" w:bidi="ar"/>
        </w:rPr>
      </w:pPr>
      <w:r>
        <w:rPr>
          <w:rFonts w:hint="default" w:ascii="Times New Roman" w:hAnsi="Times New Roman" w:eastAsia="方正楷体_GBK" w:cs="Times New Roman"/>
          <w:kern w:val="0"/>
          <w:sz w:val="32"/>
          <w:szCs w:val="32"/>
          <w:lang w:eastAsia="zh-CN" w:bidi="ar"/>
        </w:rPr>
        <w:t>一、</w:t>
      </w:r>
      <w:r>
        <w:rPr>
          <w:rFonts w:hint="default" w:ascii="Times New Roman" w:hAnsi="Times New Roman" w:eastAsia="方正楷体_GBK" w:cs="Times New Roman"/>
          <w:kern w:val="0"/>
          <w:sz w:val="32"/>
          <w:szCs w:val="32"/>
          <w:lang w:bidi="ar"/>
        </w:rPr>
        <w:t>机关运行经费支出情况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eastAsia="zh-CN" w:bidi="ar"/>
        </w:rPr>
      </w:pPr>
      <w:r>
        <w:rPr>
          <w:rFonts w:hint="default" w:ascii="Times New Roman" w:hAnsi="Times New Roman" w:eastAsia="方正楷体_GBK" w:cs="Times New Roman"/>
          <w:kern w:val="0"/>
          <w:sz w:val="32"/>
          <w:szCs w:val="32"/>
          <w:lang w:eastAsia="zh-CN" w:bidi="ar"/>
        </w:rPr>
        <w:t>二、</w:t>
      </w:r>
      <w:r>
        <w:rPr>
          <w:rFonts w:hint="default" w:ascii="Times New Roman" w:hAnsi="Times New Roman" w:eastAsia="方正楷体_GBK" w:cs="Times New Roman"/>
          <w:kern w:val="0"/>
          <w:sz w:val="32"/>
          <w:szCs w:val="32"/>
          <w:lang w:bidi="ar"/>
        </w:rPr>
        <w:t>国有资产占用情况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eastAsia="zh-CN" w:bidi="ar"/>
        </w:rPr>
      </w:pPr>
      <w:r>
        <w:rPr>
          <w:rFonts w:hint="default" w:ascii="Times New Roman" w:hAnsi="Times New Roman" w:eastAsia="方正楷体_GBK" w:cs="Times New Roman"/>
          <w:kern w:val="0"/>
          <w:sz w:val="32"/>
          <w:szCs w:val="32"/>
          <w:lang w:eastAsia="zh-CN" w:bidi="ar"/>
        </w:rPr>
        <w:t>三、</w:t>
      </w:r>
      <w:r>
        <w:rPr>
          <w:rFonts w:hint="default" w:ascii="Times New Roman" w:hAnsi="Times New Roman" w:eastAsia="方正楷体_GBK" w:cs="Times New Roman"/>
          <w:kern w:val="0"/>
          <w:sz w:val="32"/>
          <w:szCs w:val="32"/>
          <w:lang w:bidi="ar"/>
        </w:rPr>
        <w:t>政府采购支出情况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eastAsia="zh-CN" w:bidi="ar"/>
        </w:rPr>
        <w:t>四、</w:t>
      </w:r>
      <w:r>
        <w:rPr>
          <w:rFonts w:hint="default" w:ascii="Times New Roman" w:hAnsi="Times New Roman" w:eastAsia="方正楷体_GBK" w:cs="Times New Roman"/>
          <w:kern w:val="0"/>
          <w:sz w:val="32"/>
          <w:szCs w:val="32"/>
          <w:lang w:val="en-US" w:eastAsia="zh-CN" w:bidi="ar"/>
        </w:rPr>
        <w:t>部门绩效自评情况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（一）</w:t>
      </w:r>
      <w:r>
        <w:rPr>
          <w:rFonts w:hint="default" w:ascii="Times New Roman" w:hAnsi="Times New Roman" w:eastAsia="方正仿宋_GBK" w:cs="Times New Roman"/>
          <w:kern w:val="0"/>
          <w:sz w:val="32"/>
          <w:szCs w:val="32"/>
          <w:lang w:eastAsia="zh-CN" w:bidi="ar"/>
        </w:rPr>
        <w:t>部门整体支出绩效自评情况</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（二）</w:t>
      </w:r>
      <w:r>
        <w:rPr>
          <w:rFonts w:hint="default" w:ascii="Times New Roman" w:hAnsi="Times New Roman" w:eastAsia="方正仿宋_GBK" w:cs="Times New Roman"/>
          <w:kern w:val="0"/>
          <w:sz w:val="32"/>
          <w:szCs w:val="32"/>
          <w:lang w:eastAsia="zh-CN" w:bidi="ar"/>
        </w:rPr>
        <w:t>部门整体支出绩效自评表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（三）项目支出绩效自评表</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仿宋_GBK" w:cs="Times New Roman"/>
          <w:kern w:val="0"/>
          <w:sz w:val="32"/>
          <w:szCs w:val="32"/>
          <w:lang w:eastAsia="zh-CN" w:bidi="ar"/>
        </w:rPr>
      </w:pPr>
      <w:r>
        <w:rPr>
          <w:rFonts w:hint="default" w:ascii="Times New Roman" w:hAnsi="Times New Roman" w:eastAsia="方正楷体_GBK" w:cs="Times New Roman"/>
          <w:kern w:val="0"/>
          <w:sz w:val="32"/>
          <w:szCs w:val="32"/>
          <w:lang w:eastAsia="zh-CN" w:bidi="ar"/>
        </w:rPr>
        <w:t>五、</w:t>
      </w:r>
      <w:r>
        <w:rPr>
          <w:rFonts w:hint="default" w:ascii="Times New Roman" w:hAnsi="Times New Roman" w:eastAsia="方正楷体_GBK" w:cs="Times New Roman"/>
          <w:kern w:val="0"/>
          <w:sz w:val="32"/>
          <w:szCs w:val="32"/>
          <w:lang w:val="en-US" w:eastAsia="zh-CN" w:bidi="ar"/>
        </w:rPr>
        <w:t>其他重要事项情况说明</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right="0"/>
        <w:jc w:val="both"/>
        <w:textAlignment w:val="auto"/>
        <w:rPr>
          <w:rFonts w:hint="default" w:ascii="Times New Roman" w:hAnsi="Times New Roman" w:eastAsia="方正黑体_GBK" w:cs="Times New Roman"/>
          <w:b/>
          <w:bCs/>
          <w:kern w:val="0"/>
          <w:sz w:val="32"/>
          <w:szCs w:val="32"/>
          <w:lang w:bidi="ar"/>
        </w:rPr>
      </w:pPr>
      <w:r>
        <w:rPr>
          <w:rFonts w:hint="default" w:ascii="Times New Roman" w:hAnsi="Times New Roman" w:eastAsia="方正黑体_GBK" w:cs="Times New Roman"/>
          <w:b/>
          <w:bCs/>
          <w:kern w:val="0"/>
          <w:sz w:val="32"/>
          <w:szCs w:val="32"/>
          <w:lang w:bidi="ar"/>
        </w:rPr>
        <w:t>第</w:t>
      </w:r>
      <w:r>
        <w:rPr>
          <w:rFonts w:hint="default" w:ascii="Times New Roman" w:hAnsi="Times New Roman" w:eastAsia="方正黑体_GBK" w:cs="Times New Roman"/>
          <w:b/>
          <w:bCs/>
          <w:kern w:val="0"/>
          <w:sz w:val="32"/>
          <w:szCs w:val="32"/>
          <w:lang w:eastAsia="zh-CN" w:bidi="ar"/>
        </w:rPr>
        <w:t>五</w:t>
      </w:r>
      <w:r>
        <w:rPr>
          <w:rFonts w:hint="default" w:ascii="Times New Roman" w:hAnsi="Times New Roman" w:eastAsia="方正黑体_GBK" w:cs="Times New Roman"/>
          <w:b/>
          <w:bCs/>
          <w:kern w:val="0"/>
          <w:sz w:val="32"/>
          <w:szCs w:val="32"/>
          <w:lang w:bidi="ar"/>
        </w:rPr>
        <w:t>部分  名词解释</w:t>
      </w: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both"/>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第一部分  元江哈尼族彝族傣族自治县种子管理站概况</w:t>
      </w:r>
    </w:p>
    <w:p>
      <w:pPr>
        <w:keepNext w:val="0"/>
        <w:keepLines w:val="0"/>
        <w:pageBreakBefore w:val="0"/>
        <w:kinsoku/>
        <w:wordWrap/>
        <w:overflowPunct/>
        <w:bidi w:val="0"/>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sz w:val="32"/>
          <w:szCs w:val="32"/>
        </w:rPr>
        <w:t>一、主要职能</w:t>
      </w:r>
    </w:p>
    <w:p>
      <w:pPr>
        <w:keepNext w:val="0"/>
        <w:keepLines w:val="0"/>
        <w:pageBreakBefore w:val="0"/>
        <w:kinsoku/>
        <w:wordWrap/>
        <w:overflowPunct/>
        <w:bidi w:val="0"/>
        <w:spacing w:line="590" w:lineRule="exact"/>
        <w:ind w:firstLine="643" w:firstLineChars="200"/>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b/>
          <w:bCs w:val="0"/>
          <w:sz w:val="32"/>
          <w:szCs w:val="32"/>
        </w:rPr>
        <w:t>（一）主要职能</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负责种子质量抽检、种子储备、农作物区域试验、新品种示范评价、种子统计分析等有关工作；承担农作物种子生产经营单位和商品种子市场种子质量检验抽查；组织品种报审登记服务；配合做好种子市场管理工作。完成元江县农业农村局交办的其他工作。</w:t>
      </w:r>
    </w:p>
    <w:p>
      <w:pPr>
        <w:pStyle w:val="2"/>
        <w:keepNext w:val="0"/>
        <w:keepLines w:val="0"/>
        <w:pageBreakBefore w:val="0"/>
        <w:kinsoku/>
        <w:wordWrap/>
        <w:overflowPunct/>
        <w:bidi w:val="0"/>
        <w:adjustRightInd w:val="0"/>
        <w:snapToGrid w:val="0"/>
        <w:spacing w:line="590" w:lineRule="exact"/>
        <w:ind w:firstLine="675" w:firstLineChars="210"/>
        <w:textAlignment w:val="auto"/>
        <w:rPr>
          <w:rFonts w:hint="default" w:ascii="Times New Roman" w:hAnsi="Times New Roman" w:eastAsia="楷体" w:cs="Times New Roman"/>
          <w:bCs/>
          <w:sz w:val="32"/>
          <w:szCs w:val="32"/>
        </w:rPr>
      </w:pPr>
      <w:r>
        <w:rPr>
          <w:rFonts w:hint="default" w:ascii="Times New Roman" w:hAnsi="Times New Roman" w:eastAsia="方正仿宋_GBK" w:cs="Times New Roman"/>
          <w:b/>
          <w:bCs w:val="0"/>
          <w:kern w:val="2"/>
          <w:sz w:val="32"/>
          <w:szCs w:val="32"/>
          <w:lang w:val="en-US" w:eastAsia="zh-CN" w:bidi="ar-SA"/>
        </w:rPr>
        <w:t>（二）2021年度重点工作任务介绍</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1.加强经营主体及经营品种的备案监管</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截止目前通过审核取得《玉溪市农作物种子经营备案书》的经营户共有96户，网络注册经营户93户，网络备案品种共有196个，备案数量为13.76万公斤，其中玉米杂交种子136个品种，数量为12.16万公斤，水稻种子60个品种，数量为1.6万公斤。</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2.加强宣传，提高知法守法意识</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2021年度共举办宣传培训22场次，展示各种图片资料24张次，累计发放宣传材料7600余份。</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3.开展农作物种子质量监督抽查，确保种子质量</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（1）春季农作物种子市场监督抽查</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共抽查种子经营户14户，扦取种子样品30份，品种29个。其中，水稻样品6份，品种6个,代表数量858公斤；玉米样品24份，品种23个,代表数量15331.5公斤。经检测，所检项目均符合标签标注值，合格率达100%，经快速检测所有样品转基因成份均显示“阴性”。</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（2）秋季农作物种子市场监督抽查</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本次监督抽查共抽查种子经营户11户,扦取种子样品21份，品种21个。将对所扦样品的净度、发芽率指标进行检测。</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4.加强种子市场和农业转基因生物安全监管工作</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2021年共出动执法人员118人次，出动执法车辆28台次，检查种子市场33个次、检查种子经营户126户次，种子标签标识检查735个次，未发现标有转基因字样的品种，转基因快速抽检样品72个,经检测均为阴性。立案查处案件2起，还未结案，涉案种子300公斤。</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5.做好省种子管理站安排的玉米杂交种品种纯度田间小区种植鉴定工作</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本次参加纯度田间小区种植鉴定的样品共有71个，样品于2021年2月9日播种。样品于4月21日通过了省、市专家组的鉴定，为农业生产用种提供了质量依据。</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6.做好2021年冬春季新品种试验、示范及联合体试验工作</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（1）做好2021年冬春季鲜食玉米区域试验工作</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 xml:space="preserve"> 参加本次试验的品种31个，其中：甜玉米品种20个，糯玉米品种11个，糯玉米试验于2021年1月26日播种，甜玉米试验于2021年2月5日播种。试验过程严格按照方案进行操作，于2021年5月12日圆满完成试验任务。为从中筛选出适应我县种植的抗性好、高产优良品种提供了科学依据，并总结出配套的栽培技术。</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做好企业联合体普通玉米低海拔筛选试验、区域试验、生产试验工</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参加本次试验的品种共有75个，其中：筛选试验品种27个、区域试验品种36个，生产试验品种12个。试验于2021年5月13—17日播种，2021年9月30日完成试验。</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7.做好第三次全国农作物种质资源普查与征集工作</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根据省、市第三次全国农作物种质资源普查与征集工作要求及县农业农村局具体工作任务安排，我站认真做好相关数据、资料、信息的查询、收集、整理工作。目前普查与征集工作按时间、节点有条不紊开展中，已采集样本71份，超额完成省上下达的任务。</w:t>
      </w:r>
    </w:p>
    <w:p>
      <w:pPr>
        <w:keepNext w:val="0"/>
        <w:keepLines w:val="0"/>
        <w:pageBreakBefore w:val="0"/>
        <w:kinsoku/>
        <w:wordWrap/>
        <w:overflowPunct/>
        <w:bidi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二、部门基本情况</w:t>
      </w:r>
    </w:p>
    <w:p>
      <w:pPr>
        <w:keepNext w:val="0"/>
        <w:keepLines w:val="0"/>
        <w:pageBreakBefore w:val="0"/>
        <w:kinsoku/>
        <w:wordWrap/>
        <w:overflowPunct/>
        <w:bidi w:val="0"/>
        <w:spacing w:line="590" w:lineRule="exact"/>
        <w:ind w:firstLine="643" w:firstLineChars="200"/>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（一）部门决算单位构成</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纳入元江哈尼族彝族傣族自治县种子管理站2021年度部门决算编报的单位共1个。其中：行政单位0个，参照公务员法管理的事业单位0个，其他事业单位1个。分别是：元江哈尼族彝族傣族自治县种子管理站。</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元江县种子管理站属全额财政拨款的股所级事业单位，隶属元江县农业农村局。 元江县种子管理站现有职工12人,专业技术人员11人,其中：高级农艺师5人，农艺师4人,助师2人,技师1人。</w:t>
      </w:r>
    </w:p>
    <w:p>
      <w:pPr>
        <w:keepNext w:val="0"/>
        <w:keepLines w:val="0"/>
        <w:pageBreakBefore w:val="0"/>
        <w:kinsoku/>
        <w:wordWrap/>
        <w:overflowPunct/>
        <w:bidi w:val="0"/>
        <w:spacing w:line="590" w:lineRule="exact"/>
        <w:ind w:firstLine="643" w:firstLineChars="200"/>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b/>
          <w:bCs w:val="0"/>
          <w:sz w:val="32"/>
          <w:szCs w:val="32"/>
        </w:rPr>
        <w:t>（</w:t>
      </w:r>
      <w:r>
        <w:rPr>
          <w:rFonts w:hint="default" w:ascii="Times New Roman" w:hAnsi="Times New Roman" w:eastAsia="方正仿宋_GBK" w:cs="Times New Roman"/>
          <w:b/>
          <w:bCs w:val="0"/>
          <w:sz w:val="32"/>
          <w:szCs w:val="32"/>
          <w:lang w:val="en-US" w:eastAsia="zh-CN"/>
        </w:rPr>
        <w:t>二</w:t>
      </w:r>
      <w:r>
        <w:rPr>
          <w:rFonts w:hint="default" w:ascii="Times New Roman" w:hAnsi="Times New Roman" w:eastAsia="方正仿宋_GBK" w:cs="Times New Roman"/>
          <w:b/>
          <w:bCs w:val="0"/>
          <w:sz w:val="32"/>
          <w:szCs w:val="32"/>
        </w:rPr>
        <w:t>）部门人员和车辆的编制及实有情况</w:t>
      </w:r>
      <w:r>
        <w:rPr>
          <w:rFonts w:hint="default" w:ascii="Times New Roman" w:hAnsi="Times New Roman" w:eastAsia="楷体" w:cs="Times New Roman"/>
          <w:sz w:val="32"/>
          <w:szCs w:val="32"/>
        </w:rPr>
        <w:t xml:space="preserve"> </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元江哈尼族彝族傣族自治县种子管理站2021年末实有人员编制13人。其中：行政编制0人（含行政工勤编制0人），事业编制13人（含参公管理事业编制0人）；在职在编实有行政人员0人（含行政工勤人员0人），事业人员12人（含参公管理事业人员0人）。</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离退休人员9人。其中：离休0人，退休9人。</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实有车辆编制2辆，在编实有车辆2辆。</w:t>
      </w: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第二部分  </w:t>
      </w:r>
      <w:r>
        <w:rPr>
          <w:rFonts w:hint="default" w:ascii="Times New Roman" w:hAnsi="Times New Roman" w:eastAsia="方正黑体_GBK" w:cs="Times New Roman"/>
          <w:sz w:val="32"/>
          <w:szCs w:val="32"/>
          <w:lang w:val="en-US" w:eastAsia="zh-CN"/>
        </w:rPr>
        <w:t>2021</w:t>
      </w:r>
      <w:r>
        <w:rPr>
          <w:rFonts w:hint="default" w:ascii="Times New Roman" w:hAnsi="Times New Roman" w:eastAsia="方正黑体_GBK" w:cs="Times New Roman"/>
          <w:sz w:val="32"/>
          <w:szCs w:val="32"/>
        </w:rPr>
        <w:t>年度部门决算表</w:t>
      </w:r>
    </w:p>
    <w:p>
      <w:pPr>
        <w:keepNext w:val="0"/>
        <w:keepLines w:val="0"/>
        <w:pageBreakBefore w:val="0"/>
        <w:widowControl/>
        <w:suppressLineNumbers w:val="0"/>
        <w:kinsoku/>
        <w:wordWrap/>
        <w:overflowPunct/>
        <w:bidi w:val="0"/>
        <w:spacing w:line="590" w:lineRule="exact"/>
        <w:ind w:left="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（详见附件1-9）</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元江哈尼族彝族傣族自治县种子管理站没有政府性基金收入，也没有使用政府性基金安排的支出，因此，2021年部门决算表附表7《政府性基金预算财政拨款收入支出决算表》无数据。</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元江哈尼族彝族傣族自治县种子管理站没有国有资本经营收入，也没有使用国有资本经营安排的支出，因此，2021年度决算表附表8《国有资本经营预算财政拨款收入支出决算表》无数据。</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p>
    <w:p>
      <w:pPr>
        <w:keepNext w:val="0"/>
        <w:keepLines w:val="0"/>
        <w:pageBreakBefore w:val="0"/>
        <w:kinsoku/>
        <w:wordWrap/>
        <w:overflowPunct/>
        <w:bidi w:val="0"/>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第三部</w:t>
      </w:r>
      <w:r>
        <w:rPr>
          <w:rFonts w:hint="default" w:ascii="Times New Roman" w:hAnsi="Times New Roman" w:eastAsia="方正黑体_GBK" w:cs="Times New Roman"/>
          <w:sz w:val="32"/>
          <w:szCs w:val="32"/>
          <w:lang w:eastAsia="zh-CN"/>
        </w:rPr>
        <w:t>分</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val="en-US" w:eastAsia="zh-CN"/>
        </w:rPr>
        <w:t>2021</w:t>
      </w:r>
      <w:r>
        <w:rPr>
          <w:rFonts w:hint="default" w:ascii="Times New Roman" w:hAnsi="Times New Roman" w:eastAsia="方正黑体_GBK" w:cs="Times New Roman"/>
          <w:sz w:val="32"/>
          <w:szCs w:val="32"/>
        </w:rPr>
        <w:t>年度部门决算情况说明</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一、收入决算情况说明</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rPr>
        <w:t>元江哈尼族彝族傣族自治县种子管理站</w:t>
      </w: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年度收入合计</w:t>
      </w:r>
      <w:r>
        <w:rPr>
          <w:rFonts w:hint="default" w:ascii="Times New Roman" w:hAnsi="Times New Roman" w:eastAsia="方正仿宋_GBK" w:cs="Times New Roman"/>
          <w:kern w:val="0"/>
          <w:sz w:val="32"/>
          <w:szCs w:val="32"/>
          <w:shd w:val="clear" w:color="auto" w:fill="FFFFFF"/>
          <w:lang w:val="en-US" w:eastAsia="zh-CN"/>
        </w:rPr>
        <w:t>203.64</w:t>
      </w:r>
      <w:r>
        <w:rPr>
          <w:rFonts w:hint="default" w:ascii="Times New Roman" w:hAnsi="Times New Roman" w:eastAsia="方正仿宋_GBK" w:cs="Times New Roman"/>
          <w:kern w:val="0"/>
          <w:sz w:val="32"/>
          <w:szCs w:val="32"/>
          <w:shd w:val="clear" w:color="auto" w:fill="FFFFFF"/>
        </w:rPr>
        <w:t>万元。其中：财政拨款收入</w:t>
      </w:r>
      <w:r>
        <w:rPr>
          <w:rFonts w:hint="default" w:ascii="Times New Roman" w:hAnsi="Times New Roman" w:eastAsia="方正仿宋_GBK" w:cs="Times New Roman"/>
          <w:kern w:val="0"/>
          <w:sz w:val="32"/>
          <w:szCs w:val="32"/>
          <w:shd w:val="clear" w:color="auto" w:fill="FFFFFF"/>
          <w:lang w:val="en-US" w:eastAsia="zh-CN"/>
        </w:rPr>
        <w:t>196.99</w:t>
      </w:r>
      <w:r>
        <w:rPr>
          <w:rFonts w:hint="default" w:ascii="Times New Roman" w:hAnsi="Times New Roman" w:eastAsia="方正仿宋_GBK" w:cs="Times New Roman"/>
          <w:kern w:val="0"/>
          <w:sz w:val="32"/>
          <w:szCs w:val="32"/>
          <w:shd w:val="clear" w:color="auto" w:fill="FFFFFF"/>
        </w:rPr>
        <w:t>万元，占总收入的</w:t>
      </w:r>
      <w:r>
        <w:rPr>
          <w:rFonts w:hint="default" w:ascii="Times New Roman" w:hAnsi="Times New Roman" w:eastAsia="方正仿宋_GBK" w:cs="Times New Roman"/>
          <w:kern w:val="0"/>
          <w:sz w:val="32"/>
          <w:szCs w:val="32"/>
          <w:shd w:val="clear" w:color="auto" w:fill="FFFFFF"/>
          <w:lang w:val="en-US" w:eastAsia="zh-CN"/>
        </w:rPr>
        <w:t>96.73</w:t>
      </w:r>
      <w:r>
        <w:rPr>
          <w:rFonts w:hint="default" w:ascii="Times New Roman" w:hAnsi="Times New Roman" w:eastAsia="方正仿宋_GBK" w:cs="Times New Roman"/>
          <w:kern w:val="0"/>
          <w:sz w:val="32"/>
          <w:szCs w:val="32"/>
          <w:shd w:val="clear" w:color="auto" w:fill="FFFFFF"/>
        </w:rPr>
        <w:t>%；上级补助收入</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万元，占总收入的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%；事业收入</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eastAsia="zh-CN"/>
        </w:rPr>
        <w:t>（含教育收费</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，占总收入的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%；经营收入</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万元，占总收入的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%；附属单位缴款收入</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万元，占总收入的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%；其他收入</w:t>
      </w:r>
      <w:r>
        <w:rPr>
          <w:rFonts w:hint="default" w:ascii="Times New Roman" w:hAnsi="Times New Roman" w:eastAsia="方正仿宋_GBK" w:cs="Times New Roman"/>
          <w:kern w:val="0"/>
          <w:sz w:val="32"/>
          <w:szCs w:val="32"/>
          <w:shd w:val="clear" w:color="auto" w:fill="FFFFFF"/>
          <w:lang w:val="en-US" w:eastAsia="zh-CN"/>
        </w:rPr>
        <w:t>6.65</w:t>
      </w:r>
      <w:r>
        <w:rPr>
          <w:rFonts w:hint="default" w:ascii="Times New Roman" w:hAnsi="Times New Roman" w:eastAsia="方正仿宋_GBK" w:cs="Times New Roman"/>
          <w:kern w:val="0"/>
          <w:sz w:val="32"/>
          <w:szCs w:val="32"/>
          <w:shd w:val="clear" w:color="auto" w:fill="FFFFFF"/>
        </w:rPr>
        <w:t>万元，占总收入的</w:t>
      </w:r>
      <w:r>
        <w:rPr>
          <w:rFonts w:hint="default" w:ascii="Times New Roman" w:hAnsi="Times New Roman" w:eastAsia="方正仿宋_GBK" w:cs="Times New Roman"/>
          <w:kern w:val="0"/>
          <w:sz w:val="32"/>
          <w:szCs w:val="32"/>
          <w:shd w:val="clear" w:color="auto" w:fill="FFFFFF"/>
          <w:lang w:val="en-US" w:eastAsia="zh-CN"/>
        </w:rPr>
        <w:t>3.27</w:t>
      </w:r>
      <w:r>
        <w:rPr>
          <w:rFonts w:hint="default" w:ascii="Times New Roman" w:hAnsi="Times New Roman" w:eastAsia="方正仿宋_GBK" w:cs="Times New Roman"/>
          <w:kern w:val="0"/>
          <w:sz w:val="32"/>
          <w:szCs w:val="32"/>
          <w:shd w:val="clear" w:color="auto" w:fill="FFFFFF"/>
        </w:rPr>
        <w:t>%。与上年</w:t>
      </w:r>
      <w:r>
        <w:rPr>
          <w:rFonts w:hint="default" w:ascii="Times New Roman" w:hAnsi="Times New Roman" w:eastAsia="方正仿宋_GBK" w:cs="Times New Roman"/>
          <w:kern w:val="0"/>
          <w:sz w:val="32"/>
          <w:szCs w:val="32"/>
          <w:shd w:val="clear" w:color="auto" w:fill="FFFFFF"/>
          <w:lang w:eastAsia="zh-CN"/>
        </w:rPr>
        <w:t>的</w:t>
      </w:r>
      <w:r>
        <w:rPr>
          <w:rFonts w:hint="default" w:ascii="Times New Roman" w:hAnsi="Times New Roman" w:eastAsia="方正仿宋_GBK" w:cs="Times New Roman"/>
          <w:kern w:val="0"/>
          <w:sz w:val="32"/>
          <w:szCs w:val="32"/>
          <w:shd w:val="clear" w:color="auto" w:fill="FFFFFF"/>
          <w:lang w:val="en-US" w:eastAsia="zh-CN"/>
        </w:rPr>
        <w:t>245.41万元</w:t>
      </w:r>
      <w:r>
        <w:rPr>
          <w:rFonts w:hint="default" w:ascii="Times New Roman" w:hAnsi="Times New Roman" w:eastAsia="方正仿宋_GBK" w:cs="Times New Roman"/>
          <w:kern w:val="0"/>
          <w:sz w:val="32"/>
          <w:szCs w:val="32"/>
          <w:shd w:val="clear" w:color="auto" w:fill="FFFFFF"/>
        </w:rPr>
        <w:t>对比</w:t>
      </w:r>
      <w:r>
        <w:rPr>
          <w:rFonts w:hint="default" w:ascii="Times New Roman" w:hAnsi="Times New Roman" w:eastAsia="方正仿宋_GBK" w:cs="Times New Roman"/>
          <w:kern w:val="0"/>
          <w:sz w:val="32"/>
          <w:szCs w:val="32"/>
          <w:shd w:val="clear" w:color="auto" w:fill="FFFFFF"/>
          <w:lang w:eastAsia="zh-CN"/>
        </w:rPr>
        <w:t>减少</w:t>
      </w:r>
      <w:r>
        <w:rPr>
          <w:rFonts w:hint="default" w:ascii="Times New Roman" w:hAnsi="Times New Roman" w:eastAsia="方正仿宋_GBK" w:cs="Times New Roman"/>
          <w:kern w:val="0"/>
          <w:sz w:val="32"/>
          <w:szCs w:val="32"/>
          <w:shd w:val="clear" w:color="auto" w:fill="FFFFFF"/>
          <w:lang w:val="en-US" w:eastAsia="zh-CN"/>
        </w:rPr>
        <w:t>41.77万元，下降17.02%</w:t>
      </w:r>
      <w:r>
        <w:rPr>
          <w:rFonts w:hint="default" w:ascii="Times New Roman" w:hAnsi="Times New Roman" w:eastAsia="方正仿宋_GBK" w:cs="Times New Roman"/>
          <w:kern w:val="0"/>
          <w:sz w:val="32"/>
          <w:szCs w:val="32"/>
          <w:shd w:val="clear" w:color="auto" w:fill="FFFFFF"/>
        </w:rPr>
        <w:t>，主要原因</w:t>
      </w:r>
      <w:r>
        <w:rPr>
          <w:rFonts w:hint="default" w:ascii="Times New Roman" w:hAnsi="Times New Roman" w:eastAsia="方正仿宋_GBK" w:cs="Times New Roman"/>
          <w:kern w:val="0"/>
          <w:sz w:val="32"/>
          <w:szCs w:val="32"/>
          <w:shd w:val="clear" w:color="auto" w:fill="FFFFFF"/>
          <w:lang w:eastAsia="zh-CN"/>
        </w:rPr>
        <w:t>是一般公共服务支出减少和死亡怃恤金减少</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二、支出决算情况说明</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元江哈尼族彝族傣族自治县种子管理站</w:t>
      </w: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年度支出合计</w:t>
      </w:r>
      <w:r>
        <w:rPr>
          <w:rFonts w:hint="default" w:ascii="Times New Roman" w:hAnsi="Times New Roman" w:eastAsia="方正仿宋_GBK" w:cs="Times New Roman"/>
          <w:kern w:val="0"/>
          <w:sz w:val="32"/>
          <w:szCs w:val="32"/>
          <w:shd w:val="clear" w:color="auto" w:fill="FFFFFF"/>
          <w:lang w:val="en-US" w:eastAsia="zh-CN"/>
        </w:rPr>
        <w:t>211.19</w:t>
      </w:r>
      <w:r>
        <w:rPr>
          <w:rFonts w:hint="default" w:ascii="Times New Roman" w:hAnsi="Times New Roman" w:eastAsia="方正仿宋_GBK" w:cs="Times New Roman"/>
          <w:kern w:val="0"/>
          <w:sz w:val="32"/>
          <w:szCs w:val="32"/>
          <w:shd w:val="clear" w:color="auto" w:fill="FFFFFF"/>
        </w:rPr>
        <w:t>万元。其中：基本支出</w:t>
      </w:r>
      <w:r>
        <w:rPr>
          <w:rFonts w:hint="default" w:ascii="Times New Roman" w:hAnsi="Times New Roman" w:eastAsia="方正仿宋_GBK" w:cs="Times New Roman"/>
          <w:kern w:val="0"/>
          <w:sz w:val="32"/>
          <w:szCs w:val="32"/>
          <w:shd w:val="clear" w:color="auto" w:fill="FFFFFF"/>
          <w:lang w:val="en-US" w:eastAsia="zh-CN"/>
        </w:rPr>
        <w:t>196.99</w:t>
      </w:r>
      <w:r>
        <w:rPr>
          <w:rFonts w:hint="default" w:ascii="Times New Roman" w:hAnsi="Times New Roman" w:eastAsia="方正仿宋_GBK" w:cs="Times New Roman"/>
          <w:kern w:val="0"/>
          <w:sz w:val="32"/>
          <w:szCs w:val="32"/>
          <w:shd w:val="clear" w:color="auto" w:fill="FFFFFF"/>
        </w:rPr>
        <w:t>万元，占总支出的</w:t>
      </w:r>
      <w:r>
        <w:rPr>
          <w:rFonts w:hint="default" w:ascii="Times New Roman" w:hAnsi="Times New Roman" w:eastAsia="方正仿宋_GBK" w:cs="Times New Roman"/>
          <w:kern w:val="0"/>
          <w:sz w:val="32"/>
          <w:szCs w:val="32"/>
          <w:shd w:val="clear" w:color="auto" w:fill="FFFFFF"/>
          <w:lang w:val="en-US" w:eastAsia="zh-CN"/>
        </w:rPr>
        <w:t>93.28</w:t>
      </w:r>
      <w:r>
        <w:rPr>
          <w:rFonts w:hint="default" w:ascii="Times New Roman" w:hAnsi="Times New Roman" w:eastAsia="方正仿宋_GBK" w:cs="Times New Roman"/>
          <w:kern w:val="0"/>
          <w:sz w:val="32"/>
          <w:szCs w:val="32"/>
          <w:shd w:val="clear" w:color="auto" w:fill="FFFFFF"/>
        </w:rPr>
        <w:t>％；项目支出</w:t>
      </w:r>
      <w:r>
        <w:rPr>
          <w:rFonts w:hint="default" w:ascii="Times New Roman" w:hAnsi="Times New Roman" w:eastAsia="方正仿宋_GBK" w:cs="Times New Roman"/>
          <w:kern w:val="0"/>
          <w:sz w:val="32"/>
          <w:szCs w:val="32"/>
          <w:shd w:val="clear" w:color="auto" w:fill="FFFFFF"/>
          <w:lang w:val="en-US" w:eastAsia="zh-CN"/>
        </w:rPr>
        <w:t>14.20</w:t>
      </w:r>
      <w:r>
        <w:rPr>
          <w:rFonts w:hint="default" w:ascii="Times New Roman" w:hAnsi="Times New Roman" w:eastAsia="方正仿宋_GBK" w:cs="Times New Roman"/>
          <w:kern w:val="0"/>
          <w:sz w:val="32"/>
          <w:szCs w:val="32"/>
          <w:shd w:val="clear" w:color="auto" w:fill="FFFFFF"/>
        </w:rPr>
        <w:t>万元，占总支出的</w:t>
      </w:r>
      <w:r>
        <w:rPr>
          <w:rFonts w:hint="default" w:ascii="Times New Roman" w:hAnsi="Times New Roman" w:eastAsia="方正仿宋_GBK" w:cs="Times New Roman"/>
          <w:kern w:val="0"/>
          <w:sz w:val="32"/>
          <w:szCs w:val="32"/>
          <w:shd w:val="clear" w:color="auto" w:fill="FFFFFF"/>
          <w:lang w:val="en-US" w:eastAsia="zh-CN"/>
        </w:rPr>
        <w:t>6.72</w:t>
      </w:r>
      <w:r>
        <w:rPr>
          <w:rFonts w:hint="default" w:ascii="Times New Roman" w:hAnsi="Times New Roman" w:eastAsia="方正仿宋_GBK" w:cs="Times New Roman"/>
          <w:kern w:val="0"/>
          <w:sz w:val="32"/>
          <w:szCs w:val="32"/>
          <w:shd w:val="clear" w:color="auto" w:fill="FFFFFF"/>
        </w:rPr>
        <w:t>％；上缴上级支出、经营支出、对附属单位补助支出共</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万元，占总支出的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％。与上年</w:t>
      </w:r>
      <w:r>
        <w:rPr>
          <w:rFonts w:hint="default" w:ascii="Times New Roman" w:hAnsi="Times New Roman" w:eastAsia="方正仿宋_GBK" w:cs="Times New Roman"/>
          <w:kern w:val="0"/>
          <w:sz w:val="32"/>
          <w:szCs w:val="32"/>
          <w:shd w:val="clear" w:color="auto" w:fill="FFFFFF"/>
          <w:lang w:eastAsia="zh-CN"/>
        </w:rPr>
        <w:t>的</w:t>
      </w:r>
      <w:r>
        <w:rPr>
          <w:rFonts w:hint="default" w:ascii="Times New Roman" w:hAnsi="Times New Roman" w:eastAsia="方正仿宋_GBK" w:cs="Times New Roman"/>
          <w:kern w:val="0"/>
          <w:sz w:val="32"/>
          <w:szCs w:val="32"/>
          <w:shd w:val="clear" w:color="auto" w:fill="FFFFFF"/>
          <w:lang w:val="en-US" w:eastAsia="zh-CN"/>
        </w:rPr>
        <w:t>247.01万元</w:t>
      </w:r>
      <w:r>
        <w:rPr>
          <w:rFonts w:hint="default" w:ascii="Times New Roman" w:hAnsi="Times New Roman" w:eastAsia="方正仿宋_GBK" w:cs="Times New Roman"/>
          <w:kern w:val="0"/>
          <w:sz w:val="32"/>
          <w:szCs w:val="32"/>
          <w:shd w:val="clear" w:color="auto" w:fill="FFFFFF"/>
        </w:rPr>
        <w:t>对比</w:t>
      </w:r>
      <w:r>
        <w:rPr>
          <w:rFonts w:hint="default" w:ascii="Times New Roman" w:hAnsi="Times New Roman" w:eastAsia="方正仿宋_GBK" w:cs="Times New Roman"/>
          <w:kern w:val="0"/>
          <w:sz w:val="32"/>
          <w:szCs w:val="32"/>
          <w:shd w:val="clear" w:color="auto" w:fill="FFFFFF"/>
          <w:lang w:eastAsia="zh-CN"/>
        </w:rPr>
        <w:t>减少</w:t>
      </w:r>
      <w:r>
        <w:rPr>
          <w:rFonts w:hint="default" w:ascii="Times New Roman" w:hAnsi="Times New Roman" w:eastAsia="方正仿宋_GBK" w:cs="Times New Roman"/>
          <w:kern w:val="0"/>
          <w:sz w:val="32"/>
          <w:szCs w:val="32"/>
          <w:shd w:val="clear" w:color="auto" w:fill="FFFFFF"/>
          <w:lang w:val="en-US" w:eastAsia="zh-CN"/>
        </w:rPr>
        <w:t>35.82万元，下降14.50%</w:t>
      </w:r>
      <w:r>
        <w:rPr>
          <w:rFonts w:hint="default" w:ascii="Times New Roman" w:hAnsi="Times New Roman" w:eastAsia="方正仿宋_GBK" w:cs="Times New Roman"/>
          <w:kern w:val="0"/>
          <w:sz w:val="32"/>
          <w:szCs w:val="32"/>
          <w:shd w:val="clear" w:color="auto" w:fill="FFFFFF"/>
        </w:rPr>
        <w:t>，主要原因</w:t>
      </w:r>
      <w:r>
        <w:rPr>
          <w:rFonts w:hint="default" w:ascii="Times New Roman" w:hAnsi="Times New Roman" w:eastAsia="方正仿宋_GBK" w:cs="Times New Roman"/>
          <w:kern w:val="0"/>
          <w:sz w:val="32"/>
          <w:szCs w:val="32"/>
          <w:shd w:val="clear" w:color="auto" w:fill="FFFFFF"/>
          <w:lang w:eastAsia="zh-CN"/>
        </w:rPr>
        <w:t>是一般公共服务支出减少和死亡怃恤金减少</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（一）基本支出情况</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年度用于保障元江哈尼族彝族傣族自治县种子管理站机关、下属事业单位等机构正常运转的日常支出</w:t>
      </w:r>
      <w:r>
        <w:rPr>
          <w:rFonts w:hint="default" w:ascii="Times New Roman" w:hAnsi="Times New Roman" w:eastAsia="方正仿宋_GBK" w:cs="Times New Roman"/>
          <w:kern w:val="0"/>
          <w:sz w:val="32"/>
          <w:szCs w:val="32"/>
          <w:shd w:val="clear" w:color="auto" w:fill="FFFFFF"/>
          <w:lang w:val="en-US" w:eastAsia="zh-CN"/>
        </w:rPr>
        <w:t>196.99</w:t>
      </w:r>
      <w:r>
        <w:rPr>
          <w:rFonts w:hint="default" w:ascii="Times New Roman" w:hAnsi="Times New Roman" w:eastAsia="方正仿宋_GBK" w:cs="Times New Roman"/>
          <w:kern w:val="0"/>
          <w:sz w:val="32"/>
          <w:szCs w:val="32"/>
          <w:shd w:val="clear" w:color="auto" w:fill="FFFFFF"/>
        </w:rPr>
        <w:t>万元。与上年</w:t>
      </w:r>
      <w:r>
        <w:rPr>
          <w:rFonts w:hint="default" w:ascii="Times New Roman" w:hAnsi="Times New Roman" w:eastAsia="方正仿宋_GBK" w:cs="Times New Roman"/>
          <w:kern w:val="0"/>
          <w:sz w:val="32"/>
          <w:szCs w:val="32"/>
          <w:shd w:val="clear" w:color="auto" w:fill="FFFFFF"/>
          <w:lang w:eastAsia="zh-CN"/>
        </w:rPr>
        <w:t>的</w:t>
      </w:r>
      <w:r>
        <w:rPr>
          <w:rFonts w:hint="default" w:ascii="Times New Roman" w:hAnsi="Times New Roman" w:eastAsia="方正仿宋_GBK" w:cs="Times New Roman"/>
          <w:kern w:val="0"/>
          <w:sz w:val="32"/>
          <w:szCs w:val="32"/>
          <w:shd w:val="clear" w:color="auto" w:fill="FFFFFF"/>
          <w:lang w:val="en-US" w:eastAsia="zh-CN"/>
        </w:rPr>
        <w:t>235.41万元</w:t>
      </w:r>
      <w:r>
        <w:rPr>
          <w:rFonts w:hint="default" w:ascii="Times New Roman" w:hAnsi="Times New Roman" w:eastAsia="方正仿宋_GBK" w:cs="Times New Roman"/>
          <w:kern w:val="0"/>
          <w:sz w:val="32"/>
          <w:szCs w:val="32"/>
          <w:shd w:val="clear" w:color="auto" w:fill="FFFFFF"/>
        </w:rPr>
        <w:t>对比</w:t>
      </w:r>
      <w:r>
        <w:rPr>
          <w:rFonts w:hint="default" w:ascii="Times New Roman" w:hAnsi="Times New Roman" w:eastAsia="方正仿宋_GBK" w:cs="Times New Roman"/>
          <w:kern w:val="0"/>
          <w:sz w:val="32"/>
          <w:szCs w:val="32"/>
          <w:shd w:val="clear" w:color="auto" w:fill="FFFFFF"/>
          <w:lang w:eastAsia="zh-CN"/>
        </w:rPr>
        <w:t>减少</w:t>
      </w:r>
      <w:r>
        <w:rPr>
          <w:rFonts w:hint="default" w:ascii="Times New Roman" w:hAnsi="Times New Roman" w:eastAsia="方正仿宋_GBK" w:cs="Times New Roman"/>
          <w:kern w:val="0"/>
          <w:sz w:val="32"/>
          <w:szCs w:val="32"/>
          <w:shd w:val="clear" w:color="auto" w:fill="FFFFFF"/>
          <w:lang w:val="en-US" w:eastAsia="zh-CN"/>
        </w:rPr>
        <w:t>38.42万元，下降16.32%，</w:t>
      </w:r>
      <w:r>
        <w:rPr>
          <w:rFonts w:hint="default" w:ascii="Times New Roman" w:hAnsi="Times New Roman" w:eastAsia="方正仿宋_GBK" w:cs="Times New Roman"/>
          <w:kern w:val="0"/>
          <w:sz w:val="32"/>
          <w:szCs w:val="32"/>
          <w:shd w:val="clear" w:color="auto" w:fill="FFFFFF"/>
        </w:rPr>
        <w:t>主要原因</w:t>
      </w:r>
      <w:r>
        <w:rPr>
          <w:rFonts w:hint="default" w:ascii="Times New Roman" w:hAnsi="Times New Roman" w:eastAsia="方正仿宋_GBK" w:cs="Times New Roman"/>
          <w:kern w:val="0"/>
          <w:sz w:val="32"/>
          <w:szCs w:val="32"/>
          <w:shd w:val="clear" w:color="auto" w:fill="FFFFFF"/>
          <w:lang w:eastAsia="zh-CN"/>
        </w:rPr>
        <w:t>是一般公共服务支出减少和死亡怃恤金减少</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其中：</w:t>
      </w:r>
      <w:r>
        <w:rPr>
          <w:rFonts w:hint="default" w:ascii="Times New Roman" w:hAnsi="Times New Roman" w:eastAsia="方正仿宋_GBK" w:cs="Times New Roman"/>
          <w:kern w:val="0"/>
          <w:sz w:val="32"/>
          <w:szCs w:val="32"/>
          <w:shd w:val="clear" w:color="auto" w:fill="FFFFFF"/>
        </w:rPr>
        <w:t>基本工资、津贴补贴等人员经费支出</w:t>
      </w:r>
      <w:r>
        <w:rPr>
          <w:rFonts w:hint="default" w:ascii="Times New Roman" w:hAnsi="Times New Roman" w:eastAsia="方正仿宋_GBK" w:cs="Times New Roman"/>
          <w:kern w:val="0"/>
          <w:sz w:val="32"/>
          <w:szCs w:val="32"/>
          <w:shd w:val="clear" w:color="auto" w:fill="FFFFFF"/>
          <w:lang w:val="en-US" w:eastAsia="zh-CN"/>
        </w:rPr>
        <w:t>186.57</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占基本支出的</w:t>
      </w:r>
      <w:r>
        <w:rPr>
          <w:rFonts w:hint="default" w:ascii="Times New Roman" w:hAnsi="Times New Roman" w:eastAsia="方正仿宋_GBK" w:cs="Times New Roman"/>
          <w:kern w:val="0"/>
          <w:sz w:val="32"/>
          <w:szCs w:val="32"/>
          <w:shd w:val="clear" w:color="auto" w:fill="FFFFFF"/>
          <w:lang w:val="en-US" w:eastAsia="zh-CN"/>
        </w:rPr>
        <w:t>94.71</w:t>
      </w:r>
      <w:r>
        <w:rPr>
          <w:rFonts w:hint="default" w:ascii="Times New Roman" w:hAnsi="Times New Roman" w:eastAsia="方正仿宋_GBK" w:cs="Times New Roman"/>
          <w:kern w:val="0"/>
          <w:sz w:val="32"/>
          <w:szCs w:val="32"/>
          <w:shd w:val="clear" w:color="auto" w:fill="FFFFFF"/>
        </w:rPr>
        <w:t>％；办公费、印刷费、水电费、办公设备购置等公用经费</w:t>
      </w:r>
      <w:r>
        <w:rPr>
          <w:rFonts w:hint="default" w:ascii="Times New Roman" w:hAnsi="Times New Roman" w:eastAsia="方正仿宋_GBK" w:cs="Times New Roman"/>
          <w:kern w:val="0"/>
          <w:sz w:val="32"/>
          <w:szCs w:val="32"/>
          <w:shd w:val="clear" w:color="auto" w:fill="FFFFFF"/>
          <w:lang w:val="en-US" w:eastAsia="zh-CN"/>
        </w:rPr>
        <w:t>10.42</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占基本支出的</w:t>
      </w:r>
      <w:r>
        <w:rPr>
          <w:rFonts w:hint="default" w:ascii="Times New Roman" w:hAnsi="Times New Roman" w:eastAsia="方正仿宋_GBK" w:cs="Times New Roman"/>
          <w:kern w:val="0"/>
          <w:sz w:val="32"/>
          <w:szCs w:val="32"/>
          <w:shd w:val="clear" w:color="auto" w:fill="FFFFFF"/>
          <w:lang w:val="en-US" w:eastAsia="zh-CN"/>
        </w:rPr>
        <w:t>5.29</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b/>
          <w:bCs/>
          <w:sz w:val="32"/>
          <w:szCs w:val="32"/>
        </w:rPr>
        <w:t>（二）项目支出情况</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2021年度用于保障元江哈尼族彝族傣族自治县种子管理站机构、下属事业单位等机构为完成特定的行政工作任务或事业发</w:t>
      </w:r>
      <w:r>
        <w:rPr>
          <w:rFonts w:hint="default" w:ascii="Times New Roman" w:hAnsi="Times New Roman" w:eastAsia="方正仿宋_GBK" w:cs="Times New Roman"/>
          <w:kern w:val="0"/>
          <w:sz w:val="32"/>
          <w:szCs w:val="32"/>
          <w:shd w:val="clear" w:color="auto" w:fill="FFFFFF"/>
        </w:rPr>
        <w:t>展目标，用于专项业务工作的经费支出</w:t>
      </w:r>
      <w:r>
        <w:rPr>
          <w:rFonts w:hint="default" w:ascii="Times New Roman" w:hAnsi="Times New Roman" w:eastAsia="方正仿宋_GBK" w:cs="Times New Roman"/>
          <w:kern w:val="0"/>
          <w:sz w:val="32"/>
          <w:szCs w:val="32"/>
          <w:shd w:val="clear" w:color="auto" w:fill="FFFFFF"/>
          <w:lang w:val="en-US" w:eastAsia="zh-CN"/>
        </w:rPr>
        <w:t>14.20</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val="en-US" w:eastAsia="zh-CN"/>
        </w:rPr>
        <w:t>。</w:t>
      </w:r>
      <w:r>
        <w:rPr>
          <w:rFonts w:hint="default" w:ascii="Times New Roman" w:hAnsi="Times New Roman" w:eastAsia="方正仿宋_GBK" w:cs="Times New Roman"/>
          <w:kern w:val="0"/>
          <w:sz w:val="32"/>
          <w:szCs w:val="32"/>
          <w:shd w:val="clear" w:color="auto" w:fill="FFFFFF"/>
        </w:rPr>
        <w:t>与上年</w:t>
      </w:r>
      <w:r>
        <w:rPr>
          <w:rFonts w:hint="default" w:ascii="Times New Roman" w:hAnsi="Times New Roman" w:eastAsia="方正仿宋_GBK" w:cs="Times New Roman"/>
          <w:kern w:val="0"/>
          <w:sz w:val="32"/>
          <w:szCs w:val="32"/>
          <w:shd w:val="clear" w:color="auto" w:fill="FFFFFF"/>
          <w:lang w:eastAsia="zh-CN"/>
        </w:rPr>
        <w:t>的</w:t>
      </w:r>
      <w:r>
        <w:rPr>
          <w:rFonts w:hint="default" w:ascii="Times New Roman" w:hAnsi="Times New Roman" w:eastAsia="方正仿宋_GBK" w:cs="Times New Roman"/>
          <w:kern w:val="0"/>
          <w:sz w:val="32"/>
          <w:szCs w:val="32"/>
          <w:shd w:val="clear" w:color="auto" w:fill="FFFFFF"/>
          <w:lang w:val="en-US" w:eastAsia="zh-CN"/>
        </w:rPr>
        <w:t>11.60万元</w:t>
      </w:r>
      <w:r>
        <w:rPr>
          <w:rFonts w:hint="default" w:ascii="Times New Roman" w:hAnsi="Times New Roman" w:eastAsia="方正仿宋_GBK" w:cs="Times New Roman"/>
          <w:kern w:val="0"/>
          <w:sz w:val="32"/>
          <w:szCs w:val="32"/>
          <w:shd w:val="clear" w:color="auto" w:fill="FFFFFF"/>
        </w:rPr>
        <w:t>对比</w:t>
      </w:r>
      <w:r>
        <w:rPr>
          <w:rFonts w:hint="default" w:ascii="Times New Roman" w:hAnsi="Times New Roman" w:eastAsia="方正仿宋_GBK" w:cs="Times New Roman"/>
          <w:kern w:val="0"/>
          <w:sz w:val="32"/>
          <w:szCs w:val="32"/>
          <w:shd w:val="clear" w:color="auto" w:fill="FFFFFF"/>
          <w:lang w:eastAsia="zh-CN"/>
        </w:rPr>
        <w:t>增加</w:t>
      </w:r>
      <w:r>
        <w:rPr>
          <w:rFonts w:hint="default" w:ascii="Times New Roman" w:hAnsi="Times New Roman" w:eastAsia="方正仿宋_GBK" w:cs="Times New Roman"/>
          <w:kern w:val="0"/>
          <w:sz w:val="32"/>
          <w:szCs w:val="32"/>
          <w:shd w:val="clear" w:color="auto" w:fill="FFFFFF"/>
          <w:lang w:val="en-US" w:eastAsia="zh-CN"/>
        </w:rPr>
        <w:t>2.60万元，</w:t>
      </w:r>
      <w:r>
        <w:rPr>
          <w:rFonts w:hint="default" w:ascii="Times New Roman" w:hAnsi="Times New Roman" w:eastAsia="方正仿宋_GBK" w:cs="Times New Roman"/>
          <w:kern w:val="0"/>
          <w:sz w:val="32"/>
          <w:szCs w:val="32"/>
          <w:shd w:val="clear" w:color="auto" w:fill="FFFFFF"/>
        </w:rPr>
        <w:t>增长</w:t>
      </w:r>
      <w:r>
        <w:rPr>
          <w:rFonts w:hint="default" w:ascii="Times New Roman" w:hAnsi="Times New Roman" w:eastAsia="方正仿宋_GBK" w:cs="Times New Roman"/>
          <w:kern w:val="0"/>
          <w:sz w:val="32"/>
          <w:szCs w:val="32"/>
          <w:shd w:val="clear" w:color="auto" w:fill="FFFFFF"/>
          <w:lang w:val="en-US" w:eastAsia="zh-CN"/>
        </w:rPr>
        <w:t>22.41</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主要原因</w:t>
      </w:r>
      <w:r>
        <w:rPr>
          <w:rFonts w:hint="default" w:ascii="Times New Roman" w:hAnsi="Times New Roman" w:eastAsia="方正仿宋_GBK" w:cs="Times New Roman"/>
          <w:kern w:val="0"/>
          <w:sz w:val="32"/>
          <w:szCs w:val="32"/>
          <w:shd w:val="clear" w:color="auto" w:fill="FFFFFF"/>
          <w:lang w:eastAsia="zh-CN"/>
        </w:rPr>
        <w:t>是农林水支出和科技转化与推广服务支出</w:t>
      </w:r>
      <w:r>
        <w:rPr>
          <w:rFonts w:hint="default" w:ascii="Times New Roman" w:hAnsi="Times New Roman" w:eastAsia="方正仿宋_GBK" w:cs="Times New Roman"/>
          <w:kern w:val="0"/>
          <w:sz w:val="32"/>
          <w:szCs w:val="32"/>
          <w:shd w:val="clear" w:color="auto" w:fill="FFFFFF"/>
        </w:rPr>
        <w:t>。具体项目开支及</w:t>
      </w:r>
      <w:r>
        <w:rPr>
          <w:rFonts w:hint="default" w:ascii="Times New Roman" w:hAnsi="Times New Roman" w:eastAsia="方正仿宋_GBK" w:cs="Times New Roman"/>
          <w:kern w:val="0"/>
          <w:sz w:val="32"/>
          <w:szCs w:val="32"/>
          <w:shd w:val="clear" w:color="auto" w:fill="FFFFFF"/>
          <w:lang w:val="en-US" w:eastAsia="zh-CN"/>
        </w:rPr>
        <w:t>开展</w:t>
      </w:r>
      <w:r>
        <w:rPr>
          <w:rFonts w:hint="default" w:ascii="Times New Roman" w:hAnsi="Times New Roman" w:eastAsia="方正仿宋_GBK" w:cs="Times New Roman"/>
          <w:kern w:val="0"/>
          <w:sz w:val="32"/>
          <w:szCs w:val="32"/>
          <w:shd w:val="clear" w:color="auto" w:fill="FFFFFF"/>
        </w:rPr>
        <w:t>工作情况</w:t>
      </w:r>
      <w:r>
        <w:rPr>
          <w:rFonts w:hint="default" w:ascii="Times New Roman" w:hAnsi="Times New Roman" w:eastAsia="方正仿宋_GBK" w:cs="Times New Roman"/>
          <w:kern w:val="0"/>
          <w:sz w:val="32"/>
          <w:szCs w:val="32"/>
          <w:shd w:val="clear" w:color="auto" w:fill="FFFFFF"/>
          <w:lang w:eastAsia="zh-CN"/>
        </w:rPr>
        <w:t>是农林水支出</w:t>
      </w:r>
      <w:r>
        <w:rPr>
          <w:rFonts w:hint="default" w:ascii="Times New Roman" w:hAnsi="Times New Roman" w:eastAsia="方正仿宋_GBK" w:cs="Times New Roman"/>
          <w:kern w:val="0"/>
          <w:sz w:val="32"/>
          <w:szCs w:val="32"/>
          <w:shd w:val="clear" w:color="auto" w:fill="FFFFFF"/>
          <w:lang w:val="en-US" w:eastAsia="zh-CN"/>
        </w:rPr>
        <w:t>13.63万元，</w:t>
      </w:r>
      <w:r>
        <w:rPr>
          <w:rFonts w:hint="eastAsia" w:eastAsia="方正仿宋_GBK" w:cs="Times New Roman"/>
          <w:kern w:val="0"/>
          <w:sz w:val="32"/>
          <w:szCs w:val="32"/>
          <w:shd w:val="clear" w:color="auto" w:fill="FFFFFF"/>
          <w:lang w:val="en-US" w:eastAsia="zh-CN"/>
        </w:rPr>
        <w:t>一般公共</w:t>
      </w:r>
      <w:r>
        <w:rPr>
          <w:rFonts w:hint="default" w:ascii="Times New Roman" w:hAnsi="Times New Roman" w:eastAsia="方正仿宋_GBK" w:cs="Times New Roman"/>
          <w:kern w:val="0"/>
          <w:sz w:val="32"/>
          <w:szCs w:val="32"/>
          <w:shd w:val="clear" w:color="auto" w:fill="FFFFFF"/>
          <w:lang w:val="en-US" w:eastAsia="zh-CN"/>
        </w:rPr>
        <w:t>服务支出</w:t>
      </w:r>
      <w:r>
        <w:rPr>
          <w:rFonts w:hint="eastAsia" w:eastAsia="方正仿宋_GBK" w:cs="Times New Roman"/>
          <w:kern w:val="0"/>
          <w:sz w:val="32"/>
          <w:szCs w:val="32"/>
          <w:shd w:val="clear" w:color="auto" w:fill="FFFFFF"/>
          <w:lang w:val="en-US" w:eastAsia="zh-CN"/>
        </w:rPr>
        <w:t>0.57</w:t>
      </w:r>
      <w:r>
        <w:rPr>
          <w:rFonts w:hint="default" w:ascii="Times New Roman" w:hAnsi="Times New Roman" w:eastAsia="方正仿宋_GBK" w:cs="Times New Roman"/>
          <w:kern w:val="0"/>
          <w:sz w:val="32"/>
          <w:szCs w:val="32"/>
          <w:shd w:val="clear" w:color="auto" w:fill="FFFFFF"/>
          <w:lang w:val="en-US" w:eastAsia="zh-CN"/>
        </w:rPr>
        <w:t>万元。</w:t>
      </w:r>
    </w:p>
    <w:p>
      <w:pPr>
        <w:keepNext w:val="0"/>
        <w:keepLines w:val="0"/>
        <w:pageBreakBefore w:val="0"/>
        <w:widowControl/>
        <w:kinsoku/>
        <w:wordWrap/>
        <w:overflowPunct/>
        <w:bidi w:val="0"/>
        <w:snapToGrid w:val="0"/>
        <w:spacing w:before="100" w:after="100" w:line="59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sz w:val="32"/>
          <w:szCs w:val="32"/>
        </w:rPr>
        <w:t>三、一般公共预算财政拨款支出决算情况说明</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（一）一般公共预算财政拨款支出决算总体情况</w:t>
      </w:r>
    </w:p>
    <w:p>
      <w:pPr>
        <w:keepNext w:val="0"/>
        <w:keepLines w:val="0"/>
        <w:pageBreakBefore w:val="0"/>
        <w:widowControl/>
        <w:kinsoku/>
        <w:wordWrap/>
        <w:overflowPunct/>
        <w:bidi w:val="0"/>
        <w:snapToGrid w:val="0"/>
        <w:spacing w:before="100" w:after="100"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元江</w:t>
      </w:r>
      <w:r>
        <w:rPr>
          <w:rFonts w:hint="default" w:ascii="Times New Roman" w:hAnsi="Times New Roman" w:eastAsia="方正仿宋_GBK" w:cs="Times New Roman"/>
          <w:b w:val="0"/>
          <w:bCs w:val="0"/>
          <w:sz w:val="32"/>
          <w:szCs w:val="32"/>
        </w:rPr>
        <w:t>哈尼族</w:t>
      </w:r>
      <w:r>
        <w:rPr>
          <w:rFonts w:hint="default" w:ascii="Times New Roman" w:hAnsi="Times New Roman" w:eastAsia="方正仿宋_GBK" w:cs="Times New Roman"/>
          <w:b w:val="0"/>
          <w:bCs w:val="0"/>
          <w:kern w:val="0"/>
          <w:sz w:val="32"/>
          <w:szCs w:val="32"/>
          <w:shd w:val="clear" w:color="auto" w:fill="FFFFFF"/>
        </w:rPr>
        <w:t>彝族</w:t>
      </w:r>
      <w:r>
        <w:rPr>
          <w:rFonts w:hint="default" w:ascii="Times New Roman" w:hAnsi="Times New Roman" w:eastAsia="方正仿宋_GBK" w:cs="Times New Roman"/>
          <w:kern w:val="0"/>
          <w:sz w:val="32"/>
          <w:szCs w:val="32"/>
          <w:shd w:val="clear" w:color="auto" w:fill="FFFFFF"/>
        </w:rPr>
        <w:t>傣族自治县种子管理站</w:t>
      </w: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年度一般公共预算财政拨款支出</w:t>
      </w:r>
      <w:r>
        <w:rPr>
          <w:rFonts w:hint="default" w:ascii="Times New Roman" w:hAnsi="Times New Roman" w:eastAsia="方正仿宋_GBK" w:cs="Times New Roman"/>
          <w:kern w:val="0"/>
          <w:sz w:val="32"/>
          <w:szCs w:val="32"/>
          <w:shd w:val="clear" w:color="auto" w:fill="FFFFFF"/>
          <w:lang w:val="en-US" w:eastAsia="zh-CN"/>
        </w:rPr>
        <w:t>196.99</w:t>
      </w:r>
      <w:r>
        <w:rPr>
          <w:rFonts w:hint="default" w:ascii="Times New Roman" w:hAnsi="Times New Roman" w:eastAsia="方正仿宋_GBK" w:cs="Times New Roman"/>
          <w:kern w:val="0"/>
          <w:sz w:val="32"/>
          <w:szCs w:val="32"/>
          <w:shd w:val="clear" w:color="auto" w:fill="FFFFFF"/>
        </w:rPr>
        <w:t>万元,占本年支出合计的</w:t>
      </w:r>
      <w:r>
        <w:rPr>
          <w:rFonts w:hint="default" w:ascii="Times New Roman" w:hAnsi="Times New Roman" w:eastAsia="方正仿宋_GBK" w:cs="Times New Roman"/>
          <w:kern w:val="0"/>
          <w:sz w:val="32"/>
          <w:szCs w:val="32"/>
          <w:shd w:val="clear" w:color="auto" w:fill="FFFFFF"/>
          <w:lang w:val="en-US" w:eastAsia="zh-CN"/>
        </w:rPr>
        <w:t>93.28</w:t>
      </w:r>
      <w:r>
        <w:rPr>
          <w:rFonts w:hint="default" w:ascii="Times New Roman" w:hAnsi="Times New Roman" w:eastAsia="方正仿宋_GBK" w:cs="Times New Roman"/>
          <w:kern w:val="0"/>
          <w:sz w:val="32"/>
          <w:szCs w:val="32"/>
          <w:shd w:val="clear" w:color="auto" w:fill="FFFFFF"/>
        </w:rPr>
        <w:t>%。与上年对比</w:t>
      </w:r>
      <w:r>
        <w:rPr>
          <w:rFonts w:hint="default" w:ascii="Times New Roman" w:hAnsi="Times New Roman" w:eastAsia="方正仿宋_GBK" w:cs="Times New Roman"/>
          <w:kern w:val="0"/>
          <w:sz w:val="32"/>
          <w:szCs w:val="32"/>
          <w:shd w:val="clear" w:color="auto" w:fill="FFFFFF"/>
          <w:lang w:eastAsia="zh-CN"/>
        </w:rPr>
        <w:t>减少</w:t>
      </w:r>
      <w:r>
        <w:rPr>
          <w:rFonts w:hint="default" w:ascii="Times New Roman" w:hAnsi="Times New Roman" w:eastAsia="方正仿宋_GBK" w:cs="Times New Roman"/>
          <w:kern w:val="0"/>
          <w:sz w:val="32"/>
          <w:szCs w:val="32"/>
          <w:shd w:val="clear" w:color="auto" w:fill="FFFFFF"/>
          <w:lang w:val="en-US" w:eastAsia="zh-CN"/>
        </w:rPr>
        <w:t>35.82万元，下降14.50%</w:t>
      </w:r>
      <w:r>
        <w:rPr>
          <w:rFonts w:hint="default" w:ascii="Times New Roman" w:hAnsi="Times New Roman" w:eastAsia="方正仿宋_GBK" w:cs="Times New Roman"/>
          <w:kern w:val="0"/>
          <w:sz w:val="32"/>
          <w:szCs w:val="32"/>
          <w:shd w:val="clear" w:color="auto" w:fill="FFFFFF"/>
        </w:rPr>
        <w:t>，主要原因</w:t>
      </w:r>
      <w:r>
        <w:rPr>
          <w:rFonts w:hint="default" w:ascii="Times New Roman" w:hAnsi="Times New Roman" w:eastAsia="方正仿宋_GBK" w:cs="Times New Roman"/>
          <w:kern w:val="0"/>
          <w:sz w:val="32"/>
          <w:szCs w:val="32"/>
          <w:shd w:val="clear" w:color="auto" w:fill="FFFFFF"/>
          <w:lang w:eastAsia="zh-CN"/>
        </w:rPr>
        <w:t>是一般公共服务支出减少和死亡怃恤金减少</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sectPr>
          <w:pgSz w:w="11906" w:h="16838"/>
          <w:pgMar w:top="2041" w:right="1474" w:bottom="1304" w:left="1587" w:header="1361" w:footer="1191" w:gutter="0"/>
          <w:pgNumType w:fmt="decimal" w:start="1"/>
          <w:cols w:space="0" w:num="1"/>
          <w:rtlGutter w:val="0"/>
          <w:docGrid w:type="lines" w:linePitch="613" w:charSpace="0"/>
        </w:sectPr>
      </w:pP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b/>
          <w:bCs/>
          <w:sz w:val="32"/>
          <w:szCs w:val="32"/>
        </w:rPr>
        <w:t>（二）一般公共预算财政拨款支出决算具体情况</w:t>
      </w:r>
      <w:r>
        <w:rPr>
          <w:rFonts w:hint="default" w:ascii="Times New Roman" w:hAnsi="Times New Roman" w:eastAsia="楷体" w:cs="Times New Roman"/>
          <w:sz w:val="32"/>
          <w:szCs w:val="32"/>
        </w:rPr>
        <w:tab/>
      </w:r>
      <w:r>
        <w:rPr>
          <w:rFonts w:hint="default" w:ascii="Times New Roman" w:hAnsi="Times New Roman" w:eastAsia="楷体" w:cs="Times New Roman"/>
          <w:sz w:val="32"/>
          <w:szCs w:val="32"/>
        </w:rPr>
        <w:tab/>
      </w:r>
      <w:r>
        <w:rPr>
          <w:rFonts w:hint="default" w:ascii="Times New Roman" w:hAnsi="Times New Roman" w:eastAsia="楷体" w:cs="Times New Roman"/>
          <w:sz w:val="32"/>
          <w:szCs w:val="32"/>
        </w:rPr>
        <w:tab/>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1.一般公共服务（类）支出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2.外交（类）支出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3.国防（类）支出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4.公共安全（类）支出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5．教育（类）支出0.00万元，占一般公共预算财政拨款总支出的0.00%。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6．科学技术（类）支出0.00万元，占一般公共预算财政拨款总支出的0.00%。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kern w:val="0"/>
          <w:sz w:val="32"/>
          <w:szCs w:val="32"/>
          <w:shd w:val="clear" w:color="auto" w:fill="FFFFFF"/>
        </w:rPr>
        <w:t>7．文化旅游体育与传媒（类）支出0.00万元，占一般公共预算财政拨款总支出的0.00%。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8．社会保障和就业（类）支出</w:t>
      </w:r>
      <w:r>
        <w:rPr>
          <w:rFonts w:hint="default" w:ascii="Times New Roman" w:hAnsi="Times New Roman" w:eastAsia="方正仿宋_GBK" w:cs="Times New Roman"/>
          <w:kern w:val="0"/>
          <w:sz w:val="32"/>
          <w:szCs w:val="32"/>
          <w:shd w:val="clear" w:color="auto" w:fill="FFFFFF"/>
          <w:lang w:val="en-US" w:eastAsia="zh-CN"/>
        </w:rPr>
        <w:t>25.37</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12.88</w:t>
      </w:r>
      <w:r>
        <w:rPr>
          <w:rFonts w:hint="default" w:ascii="Times New Roman" w:hAnsi="Times New Roman" w:eastAsia="方正仿宋_GBK" w:cs="Times New Roman"/>
          <w:kern w:val="0"/>
          <w:sz w:val="32"/>
          <w:szCs w:val="32"/>
          <w:shd w:val="clear" w:color="auto" w:fill="FFFFFF"/>
        </w:rPr>
        <w:t>%。主要用于</w:t>
      </w:r>
      <w:r>
        <w:rPr>
          <w:rFonts w:hint="default" w:ascii="Times New Roman" w:hAnsi="Times New Roman" w:eastAsia="方正仿宋_GBK" w:cs="Times New Roman"/>
          <w:kern w:val="0"/>
          <w:sz w:val="32"/>
          <w:szCs w:val="32"/>
          <w:shd w:val="clear" w:color="auto" w:fill="FFFFFF"/>
          <w:lang w:eastAsia="zh-CN"/>
        </w:rPr>
        <w:t>单位基本</w:t>
      </w:r>
      <w:r>
        <w:rPr>
          <w:rFonts w:hint="default" w:ascii="Times New Roman" w:hAnsi="Times New Roman" w:eastAsia="方正仿宋_GBK" w:cs="Times New Roman"/>
          <w:kern w:val="0"/>
          <w:sz w:val="32"/>
          <w:szCs w:val="32"/>
          <w:shd w:val="clear" w:color="auto" w:fill="FFFFFF"/>
        </w:rPr>
        <w:t>养老保险支。</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9．卫生健康（类）支出9.</w:t>
      </w:r>
      <w:r>
        <w:rPr>
          <w:rFonts w:hint="default" w:ascii="Times New Roman" w:hAnsi="Times New Roman" w:eastAsia="方正仿宋_GBK" w:cs="Times New Roman"/>
          <w:kern w:val="0"/>
          <w:sz w:val="32"/>
          <w:szCs w:val="32"/>
          <w:shd w:val="clear" w:color="auto" w:fill="FFFFFF"/>
          <w:lang w:val="en-US" w:eastAsia="zh-CN"/>
        </w:rPr>
        <w:t>82</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4.99</w:t>
      </w:r>
      <w:r>
        <w:rPr>
          <w:rFonts w:hint="default" w:ascii="Times New Roman" w:hAnsi="Times New Roman" w:eastAsia="方正仿宋_GBK" w:cs="Times New Roman"/>
          <w:kern w:val="0"/>
          <w:sz w:val="32"/>
          <w:szCs w:val="32"/>
          <w:shd w:val="clear" w:color="auto" w:fill="FFFFFF"/>
        </w:rPr>
        <w:t>%。主要用于职工医疗保险缴费支出。</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10．节能环保（类）支出0.00万元，占一般公共预算财政拨款总支出的0.00%。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11．城乡社区（类）支出0.00万元，占一般公共预算财政拨款总支出的0.00%。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12．农林水（类）支出14</w:t>
      </w:r>
      <w:r>
        <w:rPr>
          <w:rFonts w:hint="default" w:ascii="Times New Roman" w:hAnsi="Times New Roman" w:eastAsia="方正仿宋_GBK" w:cs="Times New Roman"/>
          <w:kern w:val="0"/>
          <w:sz w:val="32"/>
          <w:szCs w:val="32"/>
          <w:shd w:val="clear" w:color="auto" w:fill="FFFFFF"/>
          <w:lang w:val="en-US" w:eastAsia="zh-CN"/>
        </w:rPr>
        <w:t>0.94</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71.54</w:t>
      </w:r>
      <w:r>
        <w:rPr>
          <w:rFonts w:hint="default" w:ascii="Times New Roman" w:hAnsi="Times New Roman" w:eastAsia="方正仿宋_GBK" w:cs="Times New Roman"/>
          <w:kern w:val="0"/>
          <w:sz w:val="32"/>
          <w:szCs w:val="32"/>
          <w:shd w:val="clear" w:color="auto" w:fill="FFFFFF"/>
        </w:rPr>
        <w:t>%。主要用于支付基本工资、津贴补贴、绩效工资等。</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13．交通运输（类）支出0.00万元，占一般公共预算财政拨款总支出的0.00%。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14．资源勘探信息等（类）支出0.00万元，占一般公共预算财政拨款总支出的0.00%。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15．商业服务业等（类）支出0.00万元，占一般公共预算财政拨款总支出的0.00%。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16．金融（类）支出0.00万元，占一般公共预算财政拨款总支出的0.00%。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17．援助其他地区（类）支出0.00万元，占一般公共预算财政拨款总支出的0.00%。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18．自然资源海洋气象等（类）支出0.00万元，占一般公共预算财政拨款总支出的0.00%。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19．住房保障（类）支出</w:t>
      </w:r>
      <w:r>
        <w:rPr>
          <w:rFonts w:hint="default" w:ascii="Times New Roman" w:hAnsi="Times New Roman" w:eastAsia="方正仿宋_GBK" w:cs="Times New Roman"/>
          <w:kern w:val="0"/>
          <w:sz w:val="32"/>
          <w:szCs w:val="32"/>
          <w:shd w:val="clear" w:color="auto" w:fill="FFFFFF"/>
          <w:lang w:val="en-US" w:eastAsia="zh-CN"/>
        </w:rPr>
        <w:t>20.86</w:t>
      </w:r>
      <w:r>
        <w:rPr>
          <w:rFonts w:hint="default" w:ascii="Times New Roman" w:hAnsi="Times New Roman" w:eastAsia="方正仿宋_GBK" w:cs="Times New Roman"/>
          <w:kern w:val="0"/>
          <w:sz w:val="32"/>
          <w:szCs w:val="32"/>
          <w:shd w:val="clear" w:color="auto" w:fill="FFFFFF"/>
        </w:rPr>
        <w:t>万元，占一般公共预算财政拨款总支出的</w:t>
      </w:r>
      <w:r>
        <w:rPr>
          <w:rFonts w:hint="default" w:ascii="Times New Roman" w:hAnsi="Times New Roman" w:eastAsia="方正仿宋_GBK" w:cs="Times New Roman"/>
          <w:kern w:val="0"/>
          <w:sz w:val="32"/>
          <w:szCs w:val="32"/>
          <w:shd w:val="clear" w:color="auto" w:fill="FFFFFF"/>
          <w:lang w:val="en-US" w:eastAsia="zh-CN"/>
        </w:rPr>
        <w:t>10.59</w:t>
      </w:r>
      <w:r>
        <w:rPr>
          <w:rFonts w:hint="default" w:ascii="Times New Roman" w:hAnsi="Times New Roman" w:eastAsia="方正仿宋_GBK" w:cs="Times New Roman"/>
          <w:kern w:val="0"/>
          <w:sz w:val="32"/>
          <w:szCs w:val="32"/>
          <w:shd w:val="clear" w:color="auto" w:fill="FFFFFF"/>
        </w:rPr>
        <w:t xml:space="preserve">%。主要用于支付住房公积金和购房补贴。 </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20．粮油物资储备（类）支出0.00万元，占一般公共预算财政拨款总支出的0.00%。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21．国有资本经营预算（类）支出0.00万元，占一般公共预算财政拨款总支出的0.00%。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22．灾害防治及应急管理（类）支出0.00万元，占一般公共预算财政拨款总支出的0.00%。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23．其他（类）支出0.00万元，占一般公共预算财政拨款总支出的0.00%。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24．债务还本（类）支出0.00万元，占一般公共预算财政拨款总支出的0.00。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25．债务付息（类）支出0.00万元，占一般公共预算财政拨款总支出的0.00%。</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26．抗疫特别国债安排（类）支出0.00万元，占一般公共预算财政拨款总支出的0.00%。</w:t>
      </w:r>
    </w:p>
    <w:p>
      <w:pPr>
        <w:keepNext w:val="0"/>
        <w:keepLines w:val="0"/>
        <w:pageBreakBefore w:val="0"/>
        <w:widowControl/>
        <w:kinsoku/>
        <w:wordWrap/>
        <w:overflowPunct/>
        <w:bidi w:val="0"/>
        <w:snapToGrid w:val="0"/>
        <w:spacing w:before="100" w:after="100"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四、一般公共预算财政拨款“三公”经费支出决算情况说明</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 一般公共预算财政拨款“三公”经费支出决算总体情况</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元江哈尼族彝族傣族自治县种子管理站</w:t>
      </w: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年度一般公共预算财政拨款“三公”经费支出预算为</w:t>
      </w:r>
      <w:r>
        <w:rPr>
          <w:rFonts w:hint="default" w:ascii="Times New Roman" w:hAnsi="Times New Roman" w:eastAsia="方正仿宋_GBK" w:cs="Times New Roman"/>
          <w:kern w:val="0"/>
          <w:sz w:val="32"/>
          <w:szCs w:val="32"/>
          <w:shd w:val="clear" w:color="auto" w:fill="FFFFFF"/>
          <w:lang w:val="en-US" w:eastAsia="zh-CN"/>
        </w:rPr>
        <w:t>0.50</w:t>
      </w:r>
      <w:r>
        <w:rPr>
          <w:rFonts w:hint="default" w:ascii="Times New Roman" w:hAnsi="Times New Roman" w:eastAsia="方正仿宋_GBK" w:cs="Times New Roman"/>
          <w:kern w:val="0"/>
          <w:sz w:val="32"/>
          <w:szCs w:val="32"/>
          <w:shd w:val="clear" w:color="auto" w:fill="FFFFFF"/>
        </w:rPr>
        <w:t>万元，支出决算为</w:t>
      </w:r>
      <w:r>
        <w:rPr>
          <w:rFonts w:hint="default" w:ascii="Times New Roman" w:hAnsi="Times New Roman" w:eastAsia="方正仿宋_GBK" w:cs="Times New Roman"/>
          <w:kern w:val="0"/>
          <w:sz w:val="32"/>
          <w:szCs w:val="32"/>
          <w:shd w:val="clear" w:color="auto" w:fill="FFFFFF"/>
          <w:lang w:val="en-US" w:eastAsia="zh-CN"/>
        </w:rPr>
        <w:t>0.60</w:t>
      </w:r>
      <w:r>
        <w:rPr>
          <w:rFonts w:hint="default" w:ascii="Times New Roman" w:hAnsi="Times New Roman" w:eastAsia="方正仿宋_GBK" w:cs="Times New Roman"/>
          <w:kern w:val="0"/>
          <w:sz w:val="32"/>
          <w:szCs w:val="32"/>
          <w:shd w:val="clear" w:color="auto" w:fill="FFFFFF"/>
        </w:rPr>
        <w:t>万元，完成预算的</w:t>
      </w:r>
      <w:r>
        <w:rPr>
          <w:rFonts w:hint="default" w:ascii="Times New Roman" w:hAnsi="Times New Roman" w:eastAsia="方正仿宋_GBK" w:cs="Times New Roman"/>
          <w:kern w:val="0"/>
          <w:sz w:val="32"/>
          <w:szCs w:val="32"/>
          <w:shd w:val="clear" w:color="auto" w:fill="FFFFFF"/>
          <w:lang w:val="en-US" w:eastAsia="zh-CN"/>
        </w:rPr>
        <w:t>120</w:t>
      </w:r>
      <w:r>
        <w:rPr>
          <w:rFonts w:hint="default" w:ascii="Times New Roman" w:hAnsi="Times New Roman" w:eastAsia="方正仿宋_GBK" w:cs="Times New Roman"/>
          <w:kern w:val="0"/>
          <w:sz w:val="32"/>
          <w:szCs w:val="32"/>
          <w:shd w:val="clear" w:color="auto" w:fill="FFFFFF"/>
        </w:rPr>
        <w:t>%。其中：因公出国（境）费支出决算为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万元，完成预算的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%；公务用车购置及运行费支出决算为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万元，完成预算的</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%；公务接待费支出决算为</w:t>
      </w:r>
      <w:r>
        <w:rPr>
          <w:rFonts w:hint="default" w:ascii="Times New Roman" w:hAnsi="Times New Roman" w:eastAsia="方正仿宋_GBK" w:cs="Times New Roman"/>
          <w:kern w:val="0"/>
          <w:sz w:val="32"/>
          <w:szCs w:val="32"/>
          <w:shd w:val="clear" w:color="auto" w:fill="FFFFFF"/>
          <w:lang w:val="en-US" w:eastAsia="zh-CN"/>
        </w:rPr>
        <w:t>0.60</w:t>
      </w:r>
      <w:r>
        <w:rPr>
          <w:rFonts w:hint="default" w:ascii="Times New Roman" w:hAnsi="Times New Roman" w:eastAsia="方正仿宋_GBK" w:cs="Times New Roman"/>
          <w:kern w:val="0"/>
          <w:sz w:val="32"/>
          <w:szCs w:val="32"/>
          <w:shd w:val="clear" w:color="auto" w:fill="FFFFFF"/>
        </w:rPr>
        <w:t>万元，完成预算的</w:t>
      </w:r>
      <w:r>
        <w:rPr>
          <w:rFonts w:hint="default" w:ascii="Times New Roman" w:hAnsi="Times New Roman" w:eastAsia="方正仿宋_GBK" w:cs="Times New Roman"/>
          <w:kern w:val="0"/>
          <w:sz w:val="32"/>
          <w:szCs w:val="32"/>
          <w:shd w:val="clear" w:color="auto" w:fill="FFFFFF"/>
          <w:lang w:val="en-US" w:eastAsia="zh-CN"/>
        </w:rPr>
        <w:t>120</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年度一般公共预算财政拨款“三公”经费支出决算数大于预算数的主要原因</w:t>
      </w:r>
      <w:r>
        <w:rPr>
          <w:rFonts w:hint="default" w:ascii="Times New Roman" w:hAnsi="Times New Roman" w:eastAsia="方正仿宋_GBK" w:cs="Times New Roman"/>
          <w:kern w:val="0"/>
          <w:sz w:val="32"/>
          <w:szCs w:val="32"/>
          <w:shd w:val="clear" w:color="auto" w:fill="FFFFFF"/>
          <w:lang w:eastAsia="zh-CN"/>
        </w:rPr>
        <w:t>是</w:t>
      </w:r>
      <w:r>
        <w:rPr>
          <w:rFonts w:hint="default" w:ascii="Times New Roman" w:hAnsi="Times New Roman" w:eastAsia="方正仿宋_GBK" w:cs="Times New Roman"/>
          <w:kern w:val="0"/>
          <w:sz w:val="32"/>
          <w:szCs w:val="32"/>
          <w:shd w:val="clear" w:color="auto" w:fill="FFFFFF"/>
          <w:lang w:val="en-US" w:eastAsia="zh-CN"/>
        </w:rPr>
        <w:t>2020年度“</w:t>
      </w:r>
      <w:r>
        <w:rPr>
          <w:rFonts w:hint="default" w:ascii="Times New Roman" w:hAnsi="Times New Roman" w:eastAsia="方正仿宋_GBK" w:cs="Times New Roman"/>
          <w:kern w:val="0"/>
          <w:sz w:val="32"/>
          <w:szCs w:val="32"/>
          <w:shd w:val="clear" w:color="auto" w:fill="FFFFFF"/>
        </w:rPr>
        <w:t>公务接待费</w:t>
      </w:r>
      <w:r>
        <w:rPr>
          <w:rFonts w:hint="default" w:ascii="Times New Roman" w:hAnsi="Times New Roman" w:eastAsia="方正仿宋_GBK" w:cs="Times New Roman"/>
          <w:kern w:val="0"/>
          <w:sz w:val="32"/>
          <w:szCs w:val="32"/>
          <w:shd w:val="clear" w:color="auto" w:fill="FFFFFF"/>
          <w:lang w:val="en-US" w:eastAsia="zh-CN"/>
        </w:rPr>
        <w:t>”财政未拨款所以在2021年度支付。</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年度一般公共预算财政拨款“三公”经费支出决算数比</w:t>
      </w:r>
      <w:r>
        <w:rPr>
          <w:rFonts w:hint="default" w:ascii="Times New Roman" w:hAnsi="Times New Roman" w:eastAsia="方正仿宋_GBK" w:cs="Times New Roman"/>
          <w:kern w:val="0"/>
          <w:sz w:val="32"/>
          <w:szCs w:val="32"/>
          <w:shd w:val="clear" w:color="auto" w:fill="FFFFFF"/>
          <w:lang w:val="en-US" w:eastAsia="zh-CN"/>
        </w:rPr>
        <w:t>2020</w:t>
      </w:r>
      <w:r>
        <w:rPr>
          <w:rFonts w:hint="default" w:ascii="Times New Roman" w:hAnsi="Times New Roman" w:eastAsia="方正仿宋_GBK" w:cs="Times New Roman"/>
          <w:kern w:val="0"/>
          <w:sz w:val="32"/>
          <w:szCs w:val="32"/>
          <w:shd w:val="clear" w:color="auto" w:fill="FFFFFF"/>
        </w:rPr>
        <w:t>年增加</w:t>
      </w:r>
      <w:r>
        <w:rPr>
          <w:rFonts w:hint="default" w:ascii="Times New Roman" w:hAnsi="Times New Roman" w:eastAsia="方正仿宋_GBK" w:cs="Times New Roman"/>
          <w:kern w:val="0"/>
          <w:sz w:val="32"/>
          <w:szCs w:val="32"/>
          <w:shd w:val="clear" w:color="auto" w:fill="FFFFFF"/>
          <w:lang w:val="en-US" w:eastAsia="zh-CN"/>
        </w:rPr>
        <w:t>0.60</w:t>
      </w:r>
      <w:r>
        <w:rPr>
          <w:rFonts w:hint="default"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lang w:val="en-US" w:eastAsia="zh-CN"/>
        </w:rPr>
        <w:t>100</w:t>
      </w:r>
      <w:r>
        <w:rPr>
          <w:rFonts w:hint="default" w:ascii="Times New Roman" w:hAnsi="Times New Roman" w:eastAsia="方正仿宋_GBK" w:cs="Times New Roman"/>
          <w:kern w:val="0"/>
          <w:sz w:val="32"/>
          <w:szCs w:val="32"/>
          <w:shd w:val="clear" w:color="auto" w:fill="FFFFFF"/>
        </w:rPr>
        <w:t>%。其中：因公出国（境）费支出决算增加</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%；公务用车购置及运行费支出决算增加</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%；公务接待费支出决算增加</w:t>
      </w:r>
      <w:r>
        <w:rPr>
          <w:rFonts w:hint="default" w:ascii="Times New Roman" w:hAnsi="Times New Roman" w:eastAsia="方正仿宋_GBK" w:cs="Times New Roman"/>
          <w:kern w:val="0"/>
          <w:sz w:val="32"/>
          <w:szCs w:val="32"/>
          <w:shd w:val="clear" w:color="auto" w:fill="FFFFFF"/>
          <w:lang w:val="en-US" w:eastAsia="zh-CN"/>
        </w:rPr>
        <w:t>0.6</w:t>
      </w:r>
      <w:r>
        <w:rPr>
          <w:rFonts w:hint="default"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lang w:val="en-US" w:eastAsia="zh-CN"/>
        </w:rPr>
        <w:t>100</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年度一般公共预算财政拨款“三公”经费支出决算增加</w:t>
      </w:r>
      <w:r>
        <w:rPr>
          <w:rFonts w:hint="default" w:ascii="Times New Roman" w:hAnsi="Times New Roman" w:eastAsia="方正仿宋_GBK" w:cs="Times New Roman"/>
          <w:kern w:val="0"/>
          <w:sz w:val="32"/>
          <w:szCs w:val="32"/>
          <w:shd w:val="clear" w:color="auto" w:fill="FFFFFF"/>
          <w:lang w:eastAsia="zh-CN"/>
        </w:rPr>
        <w:t>的原因是</w:t>
      </w:r>
      <w:r>
        <w:rPr>
          <w:rFonts w:hint="default" w:ascii="Times New Roman" w:hAnsi="Times New Roman" w:eastAsia="方正仿宋_GBK" w:cs="Times New Roman"/>
          <w:kern w:val="0"/>
          <w:sz w:val="32"/>
          <w:szCs w:val="32"/>
          <w:shd w:val="clear" w:color="auto" w:fill="FFFFFF"/>
          <w:lang w:val="en-US" w:eastAsia="zh-CN"/>
        </w:rPr>
        <w:t>2020年度“</w:t>
      </w:r>
      <w:r>
        <w:rPr>
          <w:rFonts w:hint="default" w:ascii="Times New Roman" w:hAnsi="Times New Roman" w:eastAsia="方正仿宋_GBK" w:cs="Times New Roman"/>
          <w:kern w:val="0"/>
          <w:sz w:val="32"/>
          <w:szCs w:val="32"/>
          <w:shd w:val="clear" w:color="auto" w:fill="FFFFFF"/>
        </w:rPr>
        <w:t>公务接待费</w:t>
      </w:r>
      <w:r>
        <w:rPr>
          <w:rFonts w:hint="default" w:ascii="Times New Roman" w:hAnsi="Times New Roman" w:eastAsia="方正仿宋_GBK" w:cs="Times New Roman"/>
          <w:kern w:val="0"/>
          <w:sz w:val="32"/>
          <w:szCs w:val="32"/>
          <w:shd w:val="clear" w:color="auto" w:fill="FFFFFF"/>
          <w:lang w:val="en-US" w:eastAsia="zh-CN"/>
        </w:rPr>
        <w:t>”财政未拨款所以在2021年度支付。</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(二) 一般公共预算财政拨款“三公”经费支出决算具体情况</w:t>
      </w:r>
    </w:p>
    <w:p>
      <w:pPr>
        <w:keepNext w:val="0"/>
        <w:keepLines w:val="0"/>
        <w:pageBreakBefore w:val="0"/>
        <w:widowControl/>
        <w:suppressLineNumbers w:val="0"/>
        <w:kinsoku/>
        <w:wordWrap/>
        <w:overflowPunct/>
        <w:bidi w:val="0"/>
        <w:spacing w:line="590" w:lineRule="exact"/>
        <w:ind w:left="0" w:firstLine="640" w:firstLineChars="200"/>
        <w:jc w:val="left"/>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2021</w:t>
      </w:r>
      <w:r>
        <w:rPr>
          <w:rFonts w:hint="default" w:ascii="Times New Roman" w:hAnsi="Times New Roman" w:eastAsia="方正仿宋_GBK" w:cs="Times New Roman"/>
          <w:kern w:val="0"/>
          <w:sz w:val="32"/>
          <w:szCs w:val="32"/>
          <w:shd w:val="clear" w:color="auto" w:fill="FFFFFF"/>
        </w:rPr>
        <w:t>年度一般公共预算财政拨款“三公”经费支出决算中，因公出国（境）费支出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%；公务用车购置及运行维护费支出</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lang w:val="en-US" w:eastAsia="zh-CN"/>
        </w:rPr>
        <w:t>0.00</w:t>
      </w:r>
      <w:r>
        <w:rPr>
          <w:rFonts w:hint="default" w:ascii="Times New Roman" w:hAnsi="Times New Roman" w:eastAsia="方正仿宋_GBK" w:cs="Times New Roman"/>
          <w:kern w:val="0"/>
          <w:sz w:val="32"/>
          <w:szCs w:val="32"/>
          <w:shd w:val="clear" w:color="auto" w:fill="FFFFFF"/>
        </w:rPr>
        <w:t>%；公务接待费支出</w:t>
      </w:r>
      <w:r>
        <w:rPr>
          <w:rFonts w:hint="default" w:ascii="Times New Roman" w:hAnsi="Times New Roman" w:eastAsia="方正仿宋_GBK" w:cs="Times New Roman"/>
          <w:kern w:val="0"/>
          <w:sz w:val="32"/>
          <w:szCs w:val="32"/>
          <w:shd w:val="clear" w:color="auto" w:fill="FFFFFF"/>
          <w:lang w:val="en-US" w:eastAsia="zh-CN"/>
        </w:rPr>
        <w:t>0.6</w:t>
      </w:r>
      <w:r>
        <w:rPr>
          <w:rFonts w:hint="default"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lang w:val="en-US" w:eastAsia="zh-CN"/>
        </w:rPr>
        <w:t>100</w:t>
      </w:r>
      <w:r>
        <w:rPr>
          <w:rFonts w:hint="default" w:ascii="Times New Roman" w:hAnsi="Times New Roman" w:eastAsia="方正仿宋_GBK" w:cs="Times New Roman"/>
          <w:kern w:val="0"/>
          <w:sz w:val="32"/>
          <w:szCs w:val="32"/>
          <w:shd w:val="clear" w:color="auto" w:fill="FFFFFF"/>
        </w:rPr>
        <w:t>%。具体情况如下：</w:t>
      </w:r>
    </w:p>
    <w:p>
      <w:pPr>
        <w:keepNext w:val="0"/>
        <w:keepLines w:val="0"/>
        <w:pageBreakBefore w:val="0"/>
        <w:widowControl/>
        <w:suppressLineNumbers w:val="0"/>
        <w:kinsoku/>
        <w:wordWrap/>
        <w:overflowPunct/>
        <w:bidi w:val="0"/>
        <w:spacing w:line="590" w:lineRule="exact"/>
        <w:ind w:left="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val="en-US" w:eastAsia="zh-CN"/>
        </w:rPr>
        <w:t>1</w:t>
      </w:r>
      <w:r>
        <w:rPr>
          <w:rFonts w:hint="default" w:ascii="Times New Roman" w:hAnsi="Times New Roman" w:eastAsia="方正仿宋_GBK" w:cs="Times New Roman"/>
          <w:b/>
          <w:sz w:val="32"/>
          <w:szCs w:val="32"/>
        </w:rPr>
        <w:t>.因公出国（境）费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万元，共安排因公出国（境）团组</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个，累计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人次。</w:t>
      </w:r>
    </w:p>
    <w:p>
      <w:pPr>
        <w:keepNext w:val="0"/>
        <w:keepLines w:val="0"/>
        <w:pageBreakBefore w:val="0"/>
        <w:widowControl/>
        <w:numPr>
          <w:ilvl w:val="0"/>
          <w:numId w:val="0"/>
        </w:numPr>
        <w:kinsoku/>
        <w:wordWrap/>
        <w:overflowPunct/>
        <w:bidi w:val="0"/>
        <w:snapToGrid w:val="0"/>
        <w:spacing w:before="100" w:after="100" w:line="59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b/>
          <w:sz w:val="32"/>
          <w:szCs w:val="32"/>
          <w:lang w:val="en-US" w:eastAsia="zh-CN"/>
        </w:rPr>
        <w:t>2.公务用车购置及运行维护费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万元。其中：</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b/>
          <w:sz w:val="32"/>
          <w:szCs w:val="32"/>
          <w:lang w:val="en-US" w:eastAsia="zh-CN"/>
        </w:rPr>
        <w:t>公务用车购置</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b/>
          <w:sz w:val="32"/>
          <w:szCs w:val="32"/>
          <w:lang w:val="en-US" w:eastAsia="zh-CN"/>
        </w:rPr>
        <w:t>公务用车运行维护</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万元，开支一般公共预算财政拨款的公务用车保有量为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b/>
          <w:sz w:val="32"/>
          <w:szCs w:val="32"/>
          <w:lang w:val="en-US" w:eastAsia="zh-CN"/>
        </w:rPr>
        <w:t>3.公务接待费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rPr>
        <w:t>万元。其中：</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b/>
          <w:sz w:val="32"/>
          <w:szCs w:val="32"/>
          <w:lang w:val="en-US" w:eastAsia="zh-CN"/>
        </w:rPr>
        <w:t>国内接待费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万元（其中：外事接待费支出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万元），共安排国内公务接待</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批次（其中：外事接待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批次），接待人次</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rPr>
        <w:t>人（其中：外事接待人次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人）。主要用于</w:t>
      </w:r>
      <w:r>
        <w:rPr>
          <w:rFonts w:hint="default" w:ascii="Times New Roman" w:hAnsi="Times New Roman" w:eastAsia="方正仿宋_GBK" w:cs="Times New Roman"/>
          <w:sz w:val="32"/>
          <w:szCs w:val="32"/>
          <w:lang w:eastAsia="zh-CN"/>
        </w:rPr>
        <w:t>省、市种子管理站的</w:t>
      </w:r>
      <w:r>
        <w:rPr>
          <w:rFonts w:hint="default" w:ascii="Times New Roman" w:hAnsi="Times New Roman" w:eastAsia="方正仿宋_GBK" w:cs="Times New Roman"/>
          <w:sz w:val="32"/>
          <w:szCs w:val="32"/>
        </w:rPr>
        <w:t>相关工作，产生的接待批次及人次等发生的接待支出。</w:t>
      </w:r>
    </w:p>
    <w:p>
      <w:pPr>
        <w:keepNext w:val="0"/>
        <w:keepLines w:val="0"/>
        <w:pageBreakBefore w:val="0"/>
        <w:widowControl/>
        <w:kinsoku/>
        <w:wordWrap/>
        <w:overflowPunct/>
        <w:bidi w:val="0"/>
        <w:snapToGrid w:val="0"/>
        <w:spacing w:before="100" w:after="100" w:line="59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b/>
          <w:sz w:val="32"/>
          <w:szCs w:val="32"/>
          <w:lang w:val="en-US" w:eastAsia="zh-CN"/>
        </w:rPr>
        <w:t>国（境）外接待费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万元，共安排国（境）外公务接待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批次，接待人次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w:t>
      </w:r>
    </w:p>
    <w:p>
      <w:pPr>
        <w:keepNext w:val="0"/>
        <w:keepLines w:val="0"/>
        <w:pageBreakBefore w:val="0"/>
        <w:widowControl/>
        <w:kinsoku/>
        <w:wordWrap/>
        <w:overflowPunct/>
        <w:bidi w:val="0"/>
        <w:snapToGrid w:val="0"/>
        <w:spacing w:before="100" w:after="100" w:line="590" w:lineRule="exact"/>
        <w:ind w:firstLine="640" w:firstLineChars="200"/>
        <w:jc w:val="left"/>
        <w:textAlignment w:val="auto"/>
        <w:rPr>
          <w:rFonts w:hint="default" w:ascii="Times New Roman" w:hAnsi="Times New Roman" w:eastAsia="黑体" w:cs="Times New Roman"/>
          <w:sz w:val="32"/>
          <w:szCs w:val="32"/>
        </w:rPr>
      </w:pPr>
    </w:p>
    <w:p>
      <w:pPr>
        <w:keepNext w:val="0"/>
        <w:keepLines w:val="0"/>
        <w:pageBreakBefore w:val="0"/>
        <w:kinsoku/>
        <w:wordWrap/>
        <w:overflowPunct/>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第四部分  其他重要事项及相关口径情况说明</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机关运行经费支出情况</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元江哈尼族彝族傣族自治县种子管理站</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年机关运行经费支出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r>
        <w:rPr>
          <w:rFonts w:hint="eastAsia" w:eastAsia="方正仿宋_GBK" w:cs="Times New Roman"/>
          <w:sz w:val="32"/>
          <w:szCs w:val="32"/>
          <w:lang w:eastAsia="zh-CN"/>
        </w:rPr>
        <w:t>，与上年对比无增减变化，主要原因是</w:t>
      </w:r>
      <w:r>
        <w:rPr>
          <w:rFonts w:hint="default" w:ascii="Times New Roman" w:hAnsi="Times New Roman" w:eastAsia="方正仿宋_GBK" w:cs="Times New Roman"/>
          <w:kern w:val="0"/>
          <w:sz w:val="32"/>
          <w:szCs w:val="32"/>
          <w:shd w:val="clear" w:color="auto" w:fill="FFFFFF"/>
        </w:rPr>
        <w:t>元江哈尼族彝族傣族自治县种子管理站</w:t>
      </w:r>
      <w:r>
        <w:rPr>
          <w:rFonts w:hint="eastAsia" w:eastAsia="方正仿宋_GBK" w:cs="Times New Roman"/>
          <w:kern w:val="0"/>
          <w:sz w:val="32"/>
          <w:szCs w:val="32"/>
          <w:shd w:val="clear" w:color="auto" w:fill="FFFFFF"/>
          <w:lang w:eastAsia="zh-CN"/>
        </w:rPr>
        <w:t>是全额拨款单位，不在机关运行经费核算范围</w:t>
      </w:r>
      <w:r>
        <w:rPr>
          <w:rFonts w:hint="default" w:ascii="Times New Roman" w:hAnsi="Times New Roman" w:eastAsia="方正仿宋_GBK" w:cs="Times New Roman"/>
          <w:sz w:val="32"/>
          <w:szCs w:val="32"/>
        </w:rPr>
        <w:t>。</w:t>
      </w:r>
      <w:bookmarkStart w:id="0" w:name="_GoBack"/>
      <w:bookmarkEnd w:id="0"/>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国有资产占用情况</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截至2021年12月31日，元江哈尼族彝族傣族自治县种子管理站部门资产总额25.57万元，其中，流动资产5.72万元，固定资产19.85万元，对外投资及有价证券0.00万元，在建工程0.00万元，无形资产0.00万元，其他资产0.00万元（具体内容详见附表）。与上年相比，本年资产总额减少21.20万元，其中固定资产增加0.13万元。处置房屋建筑物0平方米，账面原值0.00万元；处置车辆0辆，账面原值0.00万元；报废报损资产0项，账面原值0.00万元，实现资产处置收入0.00万元；出租房屋0平方米，账面原值0.00万元，实现资产使用收入0.00万元。</w:t>
      </w:r>
    </w:p>
    <w:tbl>
      <w:tblPr>
        <w:tblStyle w:val="7"/>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698"/>
        <w:gridCol w:w="615"/>
        <w:gridCol w:w="600"/>
        <w:gridCol w:w="122"/>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eastAsia="仿宋_GB2312" w:cs="Times New Roman"/>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56"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单位：万元</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其他资产</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小计</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房屋构筑物</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车辆</w:t>
            </w:r>
          </w:p>
        </w:tc>
        <w:tc>
          <w:tcPr>
            <w:tcW w:w="131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31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2</w:t>
            </w:r>
          </w:p>
        </w:tc>
        <w:tc>
          <w:tcPr>
            <w:tcW w:w="69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4</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5</w:t>
            </w:r>
          </w:p>
        </w:tc>
        <w:tc>
          <w:tcPr>
            <w:tcW w:w="1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11</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0"/>
                <w:szCs w:val="20"/>
                <w:lang w:val="en-US" w:eastAsia="zh-CN"/>
              </w:rPr>
              <w:t>25.57</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5.72</w:t>
            </w:r>
          </w:p>
        </w:tc>
        <w:tc>
          <w:tcPr>
            <w:tcW w:w="69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19.85</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13.74</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1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6.11</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noWrap w:val="0"/>
            <w:tcMar>
              <w:top w:w="15" w:type="dxa"/>
              <w:left w:w="15" w:type="dxa"/>
              <w:bottom w:w="15" w:type="dxa"/>
              <w:right w:w="15" w:type="dxa"/>
            </w:tcMar>
            <w:vAlign w:val="bottom"/>
          </w:tcPr>
          <w:p>
            <w:pPr>
              <w:widowControl/>
              <w:rPr>
                <w:rFonts w:hint="default" w:ascii="Times New Roman" w:hAnsi="Times New Roman" w:cs="Times New Roman"/>
                <w:color w:val="000000"/>
                <w:kern w:val="0"/>
                <w:sz w:val="24"/>
                <w:szCs w:val="24"/>
              </w:rPr>
            </w:pPr>
          </w:p>
        </w:tc>
        <w:tc>
          <w:tcPr>
            <w:tcW w:w="360" w:type="dxa"/>
            <w:tcBorders>
              <w:top w:val="nil"/>
              <w:left w:val="nil"/>
              <w:bottom w:val="nil"/>
              <w:right w:val="nil"/>
            </w:tcBorders>
            <w:noWrap w:val="0"/>
            <w:tcMar>
              <w:top w:w="15" w:type="dxa"/>
              <w:left w:w="15" w:type="dxa"/>
              <w:bottom w:w="15" w:type="dxa"/>
              <w:right w:w="15" w:type="dxa"/>
            </w:tcMar>
            <w:vAlign w:val="bottom"/>
          </w:tcPr>
          <w:p>
            <w:pPr>
              <w:widowControl/>
              <w:rPr>
                <w:rFonts w:hint="default" w:ascii="Times New Roman" w:hAnsi="Times New Roman" w:cs="Times New Roman"/>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noWrap w:val="0"/>
            <w:tcMar>
              <w:top w:w="15" w:type="dxa"/>
              <w:left w:w="15" w:type="dxa"/>
              <w:bottom w:w="15" w:type="dxa"/>
              <w:right w:w="15" w:type="dxa"/>
            </w:tcMar>
            <w:vAlign w:val="bottom"/>
          </w:tcPr>
          <w:p>
            <w:pPr>
              <w:widowControl/>
              <w:ind w:firstLine="400" w:firstLineChars="200"/>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填报说明：1.资产总额＝流动资产＋固定资产＋对外投资／有价证券＋在建工程＋无形资产＋其他资产</w:t>
            </w:r>
            <w:r>
              <w:rPr>
                <w:rFonts w:hint="default" w:ascii="Times New Roman" w:hAnsi="Times New Roman" w:cs="Times New Roman"/>
                <w:color w:val="000000"/>
                <w:kern w:val="0"/>
                <w:sz w:val="20"/>
                <w:szCs w:val="20"/>
                <w:lang w:eastAsia="zh-CN"/>
              </w:rPr>
              <w:t>；</w:t>
            </w:r>
          </w:p>
          <w:p>
            <w:pPr>
              <w:widowControl/>
              <w:numPr>
                <w:ilvl w:val="0"/>
                <w:numId w:val="1"/>
              </w:numPr>
              <w:ind w:firstLine="1400" w:firstLineChars="7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固定资产＝房屋构筑物＋车辆＋单价200万元以上大型设备＋其他固定资产</w:t>
            </w:r>
            <w:r>
              <w:rPr>
                <w:rFonts w:hint="default" w:ascii="Times New Roman" w:hAnsi="Times New Roman" w:cs="Times New Roman"/>
                <w:color w:val="000000"/>
                <w:kern w:val="0"/>
                <w:sz w:val="20"/>
                <w:szCs w:val="20"/>
                <w:lang w:eastAsia="zh-CN"/>
              </w:rPr>
              <w:t>；</w:t>
            </w:r>
          </w:p>
          <w:p>
            <w:pPr>
              <w:widowControl/>
              <w:numPr>
                <w:ilvl w:val="0"/>
                <w:numId w:val="1"/>
              </w:numPr>
              <w:ind w:firstLine="1400" w:firstLineChars="7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填报金额为资产“账面原值”。</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42" w:type="dxa"/>
            <w:noWrap w:val="0"/>
            <w:vAlign w:val="center"/>
          </w:tcPr>
          <w:p>
            <w:pPr>
              <w:widowControl/>
              <w:jc w:val="left"/>
              <w:rPr>
                <w:rFonts w:hint="default" w:ascii="Times New Roman" w:hAnsi="Times New Roman" w:eastAsia="Times New Roman" w:cs="Times New Roman"/>
                <w:kern w:val="0"/>
                <w:sz w:val="20"/>
                <w:szCs w:val="20"/>
              </w:rPr>
            </w:pPr>
          </w:p>
        </w:tc>
      </w:tr>
    </w:tbl>
    <w:p>
      <w:pPr>
        <w:keepNext w:val="0"/>
        <w:keepLines w:val="0"/>
        <w:pageBreakBefore w:val="0"/>
        <w:kinsoku/>
        <w:wordWrap/>
        <w:overflowPunct/>
        <w:autoSpaceDE/>
        <w:autoSpaceDN/>
        <w:bidi w:val="0"/>
        <w:adjustRightInd/>
        <w:spacing w:line="59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政府采购支出情况</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2021年度，部门政府采购支出总额0.00万元，其中：政府采购货物支出0.00万元；政府采购工程支出0.00万元；政府采购服务支出0.00万元。授予中小企业合同金额0.00万元，占政府采购支出总额的0.00%。</w:t>
      </w:r>
    </w:p>
    <w:p>
      <w:pPr>
        <w:keepNext w:val="0"/>
        <w:keepLines w:val="0"/>
        <w:pageBreakBefore w:val="0"/>
        <w:kinsoku/>
        <w:wordWrap/>
        <w:overflowPunct/>
        <w:autoSpaceDE/>
        <w:autoSpaceDN/>
        <w:bidi w:val="0"/>
        <w:adjustRightInd/>
        <w:spacing w:line="59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_GBK" w:cs="Times New Roman"/>
          <w:sz w:val="32"/>
          <w:szCs w:val="32"/>
          <w:lang w:val="en-US" w:eastAsia="zh-CN"/>
        </w:rPr>
        <w:t>四、部门绩效自评情况</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部门绩效自评情况详见附表（附表10—附表12）。</w:t>
      </w:r>
    </w:p>
    <w:p>
      <w:pPr>
        <w:keepNext w:val="0"/>
        <w:keepLines w:val="0"/>
        <w:pageBreakBefore w:val="0"/>
        <w:widowControl/>
        <w:kinsoku/>
        <w:wordWrap/>
        <w:overflowPunct/>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_GBK" w:cs="Times New Roman"/>
          <w:sz w:val="32"/>
          <w:szCs w:val="32"/>
          <w:lang w:val="en-US" w:eastAsia="zh-CN"/>
        </w:rPr>
        <w:t>五、其他重要事项情况说明</w:t>
      </w:r>
    </w:p>
    <w:p>
      <w:pPr>
        <w:keepNext w:val="0"/>
        <w:keepLines w:val="0"/>
        <w:pageBreakBefore w:val="0"/>
        <w:widowControl/>
        <w:kinsoku/>
        <w:wordWrap/>
        <w:overflowPunct/>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kern w:val="0"/>
          <w:sz w:val="32"/>
          <w:szCs w:val="32"/>
          <w:shd w:val="clear" w:color="auto" w:fill="FFFFFF"/>
          <w:lang w:val="en-US" w:eastAsia="zh-CN"/>
        </w:rPr>
        <w:t>无</w:t>
      </w:r>
    </w:p>
    <w:p>
      <w:pPr>
        <w:keepNext w:val="0"/>
        <w:keepLines w:val="0"/>
        <w:pageBreakBefore w:val="0"/>
        <w:widowControl/>
        <w:kinsoku/>
        <w:wordWrap/>
        <w:overflowPunct/>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_GBK" w:cs="Times New Roman"/>
          <w:sz w:val="32"/>
          <w:szCs w:val="32"/>
          <w:lang w:val="en-US" w:eastAsia="zh-CN"/>
        </w:rPr>
        <w:t>六、相关口径说明</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（一）基本支出中人员经费包括工资福利支出和对个人和家庭的补助，公用经费包括商品和服务支出、资本性支出等人员经费以外的支出。</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（二）机关运行经费指行政单位和参照公务员法管理的事业单位使用一般公共预算财政拨款安排的基本支出中的公用经费支出。</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bidi w:val="0"/>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autoSpaceDE/>
        <w:autoSpaceDN/>
        <w:bidi w:val="0"/>
        <w:adjustRightIn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部分  名词解释</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一、政府采购：</w:t>
      </w:r>
      <w:r>
        <w:rPr>
          <w:rFonts w:hint="default" w:ascii="Times New Roman" w:hAnsi="Times New Roman" w:eastAsia="方正仿宋_GBK" w:cs="Times New Roman"/>
          <w:sz w:val="32"/>
          <w:szCs w:val="32"/>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jc w:val="both"/>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b/>
          <w:bCs/>
          <w:sz w:val="32"/>
          <w:szCs w:val="32"/>
        </w:rPr>
        <w:t>二、一般公共预算收入：</w:t>
      </w:r>
      <w:r>
        <w:rPr>
          <w:rFonts w:hint="default" w:ascii="Times New Roman" w:hAnsi="Times New Roman" w:eastAsia="方正仿宋_GBK" w:cs="Times New Roman"/>
          <w:kern w:val="0"/>
          <w:sz w:val="32"/>
          <w:szCs w:val="32"/>
          <w:shd w:val="clear" w:color="auto" w:fill="FFFFFF"/>
          <w:lang w:val="en-US"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三、一般公共预算支出：</w:t>
      </w:r>
      <w:r>
        <w:rPr>
          <w:rFonts w:hint="default" w:ascii="Times New Roman" w:hAnsi="Times New Roman" w:eastAsia="方正仿宋_GBK" w:cs="Times New Roman"/>
          <w:kern w:val="0"/>
          <w:sz w:val="32"/>
          <w:szCs w:val="32"/>
          <w:shd w:val="clear" w:color="auto" w:fill="FFFFFF"/>
          <w:lang w:val="en-US"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jc w:val="both"/>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b/>
          <w:bCs/>
          <w:sz w:val="32"/>
          <w:szCs w:val="32"/>
        </w:rPr>
        <w:t>四、“三公”经费：</w:t>
      </w:r>
      <w:r>
        <w:rPr>
          <w:rFonts w:hint="default" w:ascii="Times New Roman" w:hAnsi="Times New Roman" w:eastAsia="方正仿宋_GBK" w:cs="Times New Roman"/>
          <w:kern w:val="0"/>
          <w:sz w:val="32"/>
          <w:szCs w:val="32"/>
          <w:shd w:val="clear" w:color="auto" w:fill="FFFFFF"/>
          <w:lang w:val="en-US"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widowControl/>
        <w:suppressLineNumbers w:val="0"/>
        <w:spacing w:line="560" w:lineRule="exact"/>
        <w:ind w:left="0" w:firstLine="600" w:firstLineChars="200"/>
        <w:jc w:val="left"/>
        <w:rPr>
          <w:rFonts w:hint="default" w:ascii="Times New Roman" w:hAnsi="Times New Roman" w:eastAsia="仿宋_GB2312" w:cs="Times New Roman"/>
          <w:sz w:val="30"/>
          <w:szCs w:val="30"/>
          <w:lang w:eastAsia="zh-CN"/>
        </w:rPr>
      </w:pP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监督索引号53042800332600201111</w:t>
      </w:r>
    </w:p>
    <w:sectPr>
      <w:headerReference r:id="rId3" w:type="default"/>
      <w:footerReference r:id="rId4" w:type="default"/>
      <w:footerReference r:id="rId5" w:type="even"/>
      <w:pgSz w:w="11906" w:h="16838"/>
      <w:pgMar w:top="2041" w:right="1474" w:bottom="1304" w:left="1587" w:header="1361" w:footer="1191" w:gutter="0"/>
      <w:pgNumType w:fmt="numberInDash"/>
      <w:cols w:space="0" w:num="1"/>
      <w:rtlGutter w:val="0"/>
      <w:docGrid w:type="lines" w:linePitch="6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306"/>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YzBlZjRkMGI0MDQ5Mjc2OWFkNmQ1OWViOWIxMzk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7F7B41"/>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3501375"/>
    <w:rsid w:val="064F3766"/>
    <w:rsid w:val="08DC0CE0"/>
    <w:rsid w:val="0A920BA2"/>
    <w:rsid w:val="0B685255"/>
    <w:rsid w:val="0BD12322"/>
    <w:rsid w:val="0CB357B4"/>
    <w:rsid w:val="0F3515BC"/>
    <w:rsid w:val="1004319E"/>
    <w:rsid w:val="109A2368"/>
    <w:rsid w:val="1253626C"/>
    <w:rsid w:val="12AF3DA1"/>
    <w:rsid w:val="15051099"/>
    <w:rsid w:val="15194E70"/>
    <w:rsid w:val="16621D81"/>
    <w:rsid w:val="1B9A76F1"/>
    <w:rsid w:val="22BA1854"/>
    <w:rsid w:val="231D7EF5"/>
    <w:rsid w:val="23477435"/>
    <w:rsid w:val="253B1B6C"/>
    <w:rsid w:val="25BD151C"/>
    <w:rsid w:val="28AF6300"/>
    <w:rsid w:val="29334E03"/>
    <w:rsid w:val="29AB5281"/>
    <w:rsid w:val="2A497C81"/>
    <w:rsid w:val="2ACE39FA"/>
    <w:rsid w:val="2C2C7BFF"/>
    <w:rsid w:val="2EBD6C76"/>
    <w:rsid w:val="2F2E2C38"/>
    <w:rsid w:val="31EE7D4C"/>
    <w:rsid w:val="324972D3"/>
    <w:rsid w:val="351F21C4"/>
    <w:rsid w:val="354965B5"/>
    <w:rsid w:val="369C5976"/>
    <w:rsid w:val="37364169"/>
    <w:rsid w:val="378C451A"/>
    <w:rsid w:val="37F8238E"/>
    <w:rsid w:val="38C92C72"/>
    <w:rsid w:val="3A3F3310"/>
    <w:rsid w:val="411B7DA5"/>
    <w:rsid w:val="43650ECA"/>
    <w:rsid w:val="46E36AD8"/>
    <w:rsid w:val="47A16424"/>
    <w:rsid w:val="47F25562"/>
    <w:rsid w:val="4A041DB5"/>
    <w:rsid w:val="4FCC7BC5"/>
    <w:rsid w:val="500A28E7"/>
    <w:rsid w:val="51373AA3"/>
    <w:rsid w:val="52BC6998"/>
    <w:rsid w:val="56BA294D"/>
    <w:rsid w:val="58890172"/>
    <w:rsid w:val="598B4CA8"/>
    <w:rsid w:val="5A1B3942"/>
    <w:rsid w:val="5AC34DD0"/>
    <w:rsid w:val="5B767A28"/>
    <w:rsid w:val="5C424B52"/>
    <w:rsid w:val="5D632CD1"/>
    <w:rsid w:val="60521054"/>
    <w:rsid w:val="61B0552C"/>
    <w:rsid w:val="633C7882"/>
    <w:rsid w:val="65FE5DD1"/>
    <w:rsid w:val="660D17DD"/>
    <w:rsid w:val="66453DE8"/>
    <w:rsid w:val="69990E04"/>
    <w:rsid w:val="69E0699C"/>
    <w:rsid w:val="6D2C1DBC"/>
    <w:rsid w:val="7398436E"/>
    <w:rsid w:val="768220A0"/>
    <w:rsid w:val="77207610"/>
    <w:rsid w:val="788E4CAB"/>
    <w:rsid w:val="78AF2483"/>
    <w:rsid w:val="79EB17A6"/>
    <w:rsid w:val="7B7D7219"/>
    <w:rsid w:val="7CBE0D32"/>
    <w:rsid w:val="7CE70560"/>
    <w:rsid w:val="7EAC150C"/>
    <w:rsid w:val="7ED27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0">
    <w:name w:val="font01"/>
    <w:basedOn w:val="8"/>
    <w:qFormat/>
    <w:uiPriority w:val="0"/>
    <w:rPr>
      <w:rFonts w:hint="default" w:ascii="Arial" w:hAnsi="Arial" w:cs="Arial"/>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6456</Words>
  <Characters>7283</Characters>
  <Lines>28</Lines>
  <Paragraphs>8</Paragraphs>
  <TotalTime>1</TotalTime>
  <ScaleCrop>false</ScaleCrop>
  <LinksUpToDate>false</LinksUpToDate>
  <CharactersWithSpaces>7319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2022-09-22T07:09:00Z</cp:lastPrinted>
  <dcterms:modified xsi:type="dcterms:W3CDTF">2022-11-18T08:48:38Z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E09B074F97444A57AC401708832FA5AE</vt:lpwstr>
  </property>
  <property fmtid="{D5CDD505-2E9C-101B-9397-08002B2CF9AE}" pid="3" name="KSOProductBuildVer">
    <vt:lpwstr>2052-11.1.0.12598</vt:lpwstr>
  </property>
</Properties>
</file>