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default" w:ascii="Times New Roman" w:hAnsi="Times New Roman" w:eastAsia="方正仿宋_GBK" w:cs="Times New Roman"/>
          <w:sz w:val="32"/>
          <w:szCs w:val="32"/>
          <w:lang w:eastAsia="zh-CN"/>
        </w:rPr>
      </w:pPr>
      <w:bookmarkStart w:id="1" w:name="_GoBack"/>
      <w:bookmarkEnd w:id="1"/>
      <w:bookmarkStart w:id="0" w:name="Title"/>
    </w:p>
    <w:p>
      <w:pPr>
        <w:pStyle w:val="2"/>
        <w:jc w:val="center"/>
        <w:rPr>
          <w:rFonts w:hint="default" w:ascii="Times New Roman" w:hAnsi="Times New Roman" w:eastAsia="方正仿宋_GBK" w:cs="Times New Roman"/>
          <w:sz w:val="32"/>
          <w:szCs w:val="32"/>
          <w:lang w:eastAsia="zh-CN"/>
        </w:rPr>
      </w:pP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澄财农</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2022</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48</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方正仿宋_GBK" w:cs="Times New Roman"/>
          <w:spacing w:val="14"/>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default" w:ascii="Times New Roman" w:hAnsi="Times New Roman" w:eastAsia="方正小标宋_GBK" w:cs="Times New Roman"/>
          <w:spacing w:val="14"/>
          <w:sz w:val="44"/>
          <w:szCs w:val="44"/>
          <w:lang w:eastAsia="zh-CN"/>
        </w:rPr>
      </w:pPr>
      <w:r>
        <w:rPr>
          <w:rFonts w:hint="default" w:ascii="Times New Roman" w:hAnsi="Times New Roman" w:eastAsia="方正小标宋_GBK" w:cs="Times New Roman"/>
          <w:spacing w:val="14"/>
          <w:sz w:val="44"/>
          <w:szCs w:val="44"/>
          <w:lang w:eastAsia="zh-CN"/>
        </w:rPr>
        <w:t>澄江市财政局</w:t>
      </w:r>
      <w:r>
        <w:rPr>
          <w:rFonts w:hint="default" w:ascii="Times New Roman" w:hAnsi="Times New Roman" w:eastAsia="方正小标宋_GBK" w:cs="Times New Roman"/>
          <w:spacing w:val="14"/>
          <w:sz w:val="44"/>
          <w:szCs w:val="44"/>
          <w:lang w:val="en-US" w:eastAsia="zh-CN"/>
        </w:rPr>
        <w:t xml:space="preserve"> </w:t>
      </w:r>
      <w:r>
        <w:rPr>
          <w:rFonts w:hint="default" w:ascii="Times New Roman" w:hAnsi="Times New Roman" w:eastAsia="方正小标宋_GBK" w:cs="Times New Roman"/>
          <w:spacing w:val="14"/>
          <w:sz w:val="44"/>
          <w:szCs w:val="44"/>
          <w:lang w:eastAsia="zh-CN"/>
        </w:rPr>
        <w:t>澄江市农业农村局关于</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default" w:ascii="Times New Roman" w:hAnsi="Times New Roman" w:eastAsia="方正小标宋_GBK" w:cs="Times New Roman"/>
          <w:spacing w:val="14"/>
          <w:sz w:val="44"/>
          <w:szCs w:val="44"/>
          <w:lang w:eastAsia="zh-CN"/>
        </w:rPr>
      </w:pPr>
      <w:r>
        <w:rPr>
          <w:rFonts w:hint="default" w:ascii="Times New Roman" w:hAnsi="Times New Roman" w:eastAsia="方正小标宋_GBK" w:cs="Times New Roman"/>
          <w:spacing w:val="14"/>
          <w:sz w:val="44"/>
          <w:szCs w:val="44"/>
          <w:lang w:eastAsia="zh-CN"/>
        </w:rPr>
        <w:t>下达2022年省级财政衔接推进乡村</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default" w:ascii="Times New Roman" w:hAnsi="Times New Roman" w:eastAsia="方正小标宋_GBK" w:cs="Times New Roman"/>
          <w:spacing w:val="14"/>
          <w:sz w:val="44"/>
          <w:szCs w:val="44"/>
          <w:lang w:eastAsia="zh-CN"/>
        </w:rPr>
      </w:pPr>
      <w:r>
        <w:rPr>
          <w:rFonts w:hint="default" w:ascii="Times New Roman" w:hAnsi="Times New Roman" w:eastAsia="方正小标宋_GBK" w:cs="Times New Roman"/>
          <w:spacing w:val="14"/>
          <w:sz w:val="44"/>
          <w:szCs w:val="44"/>
          <w:lang w:eastAsia="zh-CN"/>
        </w:rPr>
        <w:t>振兴补助资金（</w:t>
      </w:r>
      <w:r>
        <w:rPr>
          <w:rFonts w:hint="eastAsia" w:eastAsia="方正小标宋_GBK" w:cs="Times New Roman"/>
          <w:spacing w:val="14"/>
          <w:sz w:val="44"/>
          <w:szCs w:val="44"/>
          <w:lang w:val="en-US" w:eastAsia="zh-CN"/>
        </w:rPr>
        <w:t>第三批</w:t>
      </w:r>
      <w:r>
        <w:rPr>
          <w:rFonts w:hint="default" w:ascii="Times New Roman" w:hAnsi="Times New Roman" w:eastAsia="方正小标宋_GBK" w:cs="Times New Roman"/>
          <w:spacing w:val="14"/>
          <w:sz w:val="44"/>
          <w:szCs w:val="44"/>
          <w:lang w:eastAsia="zh-CN"/>
        </w:rPr>
        <w:t>）的</w:t>
      </w:r>
      <w:bookmarkEnd w:id="0"/>
      <w:r>
        <w:rPr>
          <w:rFonts w:hint="default" w:ascii="Times New Roman" w:hAnsi="Times New Roman" w:eastAsia="方正小标宋_GBK" w:cs="Times New Roman"/>
          <w:spacing w:val="14"/>
          <w:sz w:val="44"/>
          <w:szCs w:val="44"/>
          <w:lang w:eastAsia="zh-CN"/>
        </w:rPr>
        <w:t>通知</w:t>
      </w:r>
    </w:p>
    <w:p>
      <w:pPr>
        <w:keepNext w:val="0"/>
        <w:keepLines w:val="0"/>
        <w:pageBreakBefore w:val="0"/>
        <w:widowControl w:val="0"/>
        <w:numPr>
          <w:ilvl w:val="0"/>
          <w:numId w:val="0"/>
        </w:numPr>
        <w:tabs>
          <w:tab w:val="left" w:pos="7095"/>
        </w:tabs>
        <w:kinsoku/>
        <w:wordWrap/>
        <w:overflowPunct/>
        <w:topLinePunct w:val="0"/>
        <w:autoSpaceDE/>
        <w:autoSpaceDN/>
        <w:bidi w:val="0"/>
        <w:adjustRightIn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澄江市农业农村局、各镇（街道）</w:t>
      </w:r>
      <w:r>
        <w:rPr>
          <w:rFonts w:hint="default" w:ascii="Times New Roman" w:hAnsi="Times New Roman" w:eastAsia="方正仿宋_GBK" w:cs="Times New Roman"/>
          <w:sz w:val="32"/>
          <w:szCs w:val="32"/>
          <w:lang w:val="en-US" w:eastAsia="zh-CN"/>
        </w:rPr>
        <w:t>人民政府、财政所：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保证我市2022年省级财政衔接推进乡村振兴补助资金（巩固拓展脱贫攻坚成果和乡村振兴任务）项目建设的顺利进行，根据《玉溪市财政局关于下达2022年省级财政衔接推进乡村振兴补助资金的通知》（玉财农〔2022〕153号）文件精神，结合</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澄江市人民政府关于路居镇上坝村委会2022年衔接推进乡村振兴—梅竹二组烤房建设项目实施方案的批复</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澄政复〔2022〕69号</w:t>
      </w:r>
      <w:r>
        <w:rPr>
          <w:rFonts w:hint="eastAsia" w:eastAsia="方正仿宋_GBK" w:cs="Times New Roman"/>
          <w:sz w:val="32"/>
          <w:szCs w:val="32"/>
          <w:lang w:val="en-US" w:eastAsia="zh-CN"/>
        </w:rPr>
        <w:t>）、</w:t>
      </w:r>
      <w:r>
        <w:rPr>
          <w:rFonts w:hint="default" w:ascii="Times New Roman" w:hAnsi="Times New Roman" w:eastAsia="方正仿宋_GBK" w:cs="Times New Roman"/>
          <w:color w:val="auto"/>
          <w:sz w:val="32"/>
          <w:szCs w:val="32"/>
          <w:highlight w:val="none"/>
          <w:lang w:val="en-US" w:eastAsia="zh-CN"/>
        </w:rPr>
        <w:t>《澄江市人民政府关于澄江市2022年中高等职业学校建档立卡脱贫家庭经济困难学生生活补助项目实施方案的批复》（澄政复〔2022〕78号）</w:t>
      </w:r>
      <w:r>
        <w:rPr>
          <w:rFonts w:hint="eastAsia" w:eastAsia="方正仿宋_GBK" w:cs="Times New Roman"/>
          <w:color w:val="auto"/>
          <w:sz w:val="32"/>
          <w:szCs w:val="32"/>
          <w:highlight w:val="none"/>
          <w:lang w:val="en-US" w:eastAsia="zh-CN"/>
        </w:rPr>
        <w:t>等12个</w:t>
      </w:r>
      <w:r>
        <w:rPr>
          <w:rFonts w:hint="default" w:ascii="Times New Roman" w:hAnsi="Times New Roman" w:eastAsia="方正仿宋_GBK" w:cs="Times New Roman"/>
          <w:sz w:val="32"/>
          <w:szCs w:val="32"/>
          <w:lang w:val="en-US" w:eastAsia="zh-CN"/>
        </w:rPr>
        <w:t>项目批复，现将2022年省级财政衔接推进乡村振兴补助资金</w:t>
      </w:r>
      <w:r>
        <w:rPr>
          <w:rFonts w:hint="eastAsia" w:eastAsia="方正仿宋_GBK" w:cs="Times New Roman"/>
          <w:sz w:val="32"/>
          <w:szCs w:val="32"/>
          <w:lang w:val="en-US" w:eastAsia="zh-CN"/>
        </w:rPr>
        <w:t>998</w:t>
      </w:r>
      <w:r>
        <w:rPr>
          <w:rFonts w:hint="default" w:ascii="Times New Roman" w:hAnsi="Times New Roman" w:eastAsia="方正仿宋_GBK" w:cs="Times New Roman"/>
          <w:sz w:val="32"/>
          <w:szCs w:val="32"/>
          <w:lang w:val="en-US" w:eastAsia="zh-CN"/>
        </w:rPr>
        <w:t>万元下达给你们（详见附表1），并就相关事项通知如下：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一、</w:t>
      </w:r>
      <w:r>
        <w:rPr>
          <w:rFonts w:hint="eastAsia" w:ascii="方正黑体_GBK" w:hAnsi="方正黑体_GBK" w:eastAsia="方正黑体_GBK" w:cs="方正黑体_GBK"/>
          <w:b w:val="0"/>
          <w:bCs w:val="0"/>
          <w:sz w:val="32"/>
          <w:szCs w:val="32"/>
        </w:rPr>
        <w:t>精准使用资金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请</w:t>
      </w:r>
      <w:r>
        <w:rPr>
          <w:rFonts w:hint="eastAsia" w:eastAsia="方正仿宋_GBK" w:cs="Times New Roman"/>
          <w:sz w:val="32"/>
          <w:szCs w:val="32"/>
          <w:lang w:val="en-US" w:eastAsia="zh-CN"/>
        </w:rPr>
        <w:t>澄江市农业农村局、各镇（街道）</w:t>
      </w:r>
      <w:r>
        <w:rPr>
          <w:rFonts w:hint="default" w:ascii="Times New Roman" w:hAnsi="Times New Roman" w:eastAsia="方正仿宋_GBK" w:cs="Times New Roman"/>
          <w:sz w:val="32"/>
          <w:szCs w:val="32"/>
          <w:lang w:val="en-US" w:eastAsia="zh-CN"/>
        </w:rPr>
        <w:t>按照项目实施方案精准使用资金。资金使用紧紧围绕市委、市政府确定的2022年我市巩固拓展脱贫攻坚成果目标任务，巩固脱贫攻坚成果、防止返贫致贫、建立农村低收入人口和欠发达地区监测帮扶机制，实现巩固拓展脱贫攻坚成果同乡村振兴有效衔接，着力提升资金使用绩效，确保2022年巩固拓展脱贫攻坚成果和乡村振兴有效衔接目标任务圆满完成。</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加强项目及资金执行力度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澄江市农业农村局、各镇（街道）</w:t>
      </w:r>
      <w:r>
        <w:rPr>
          <w:rFonts w:hint="default" w:ascii="Times New Roman" w:hAnsi="Times New Roman" w:eastAsia="方正仿宋_GBK" w:cs="Times New Roman"/>
          <w:sz w:val="32"/>
          <w:szCs w:val="32"/>
          <w:lang w:val="en-US" w:eastAsia="zh-CN"/>
        </w:rPr>
        <w:t>要以目标为导向，加强项目及资金的执行力度，项目批复后尽快组织开工建设，确保各项建设任务如期完成。资金拨付严格按照《中央财政衔接推进乡村振兴补助资金管理办法》（财农〔2021〕19号）和《云南省财政衔接推进乡村振兴补助资金管理办法》（云财农〔2021〕140号）执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right="0" w:rightChars="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严格资金监管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w:t>
      </w:r>
      <w:r>
        <w:rPr>
          <w:rFonts w:hint="eastAsia" w:eastAsia="方正仿宋_GBK" w:cs="Times New Roman"/>
          <w:sz w:val="32"/>
          <w:szCs w:val="32"/>
          <w:lang w:val="en-US" w:eastAsia="zh-CN"/>
        </w:rPr>
        <w:t>澄江市农业农村局、各镇（街道）</w:t>
      </w:r>
      <w:r>
        <w:rPr>
          <w:rFonts w:hint="default" w:ascii="Times New Roman" w:hAnsi="Times New Roman" w:eastAsia="方正仿宋_GBK" w:cs="Times New Roman"/>
          <w:sz w:val="32"/>
          <w:szCs w:val="32"/>
          <w:lang w:val="en-US" w:eastAsia="zh-CN"/>
        </w:rPr>
        <w:t>要根据要求，及时对项目建设内容及资金使用计划等信息进行公示、公开，项目建成经镇、街道验收后，对项目建设内容及资金使用情况等信息进行公告，公示公告可采用纸质粘贴、网站公布、手机信息等多种形式，通过公告公示，提高资金使用透明度，充分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w:t>
      </w:r>
      <w:r>
        <w:rPr>
          <w:rFonts w:hint="eastAsia" w:eastAsia="方正仿宋_GBK" w:cs="Times New Roman"/>
          <w:sz w:val="32"/>
          <w:szCs w:val="32"/>
          <w:lang w:val="en-US" w:eastAsia="zh-CN"/>
        </w:rPr>
        <w:t>澄江市农业农村局、各镇（街道）</w:t>
      </w:r>
      <w:r>
        <w:rPr>
          <w:rFonts w:hint="default" w:ascii="Times New Roman" w:hAnsi="Times New Roman" w:eastAsia="方正仿宋_GBK" w:cs="Times New Roman"/>
          <w:sz w:val="32"/>
          <w:szCs w:val="32"/>
          <w:lang w:val="en-US" w:eastAsia="zh-CN"/>
        </w:rPr>
        <w:t>需认真贯彻落实党中央、国务院关于“巩固拓展脱贫攻坚成果同乡村振兴有效衔接”有关精神，切实管好用好资金，充分发挥资金使用效益。</w:t>
      </w:r>
    </w:p>
    <w:p>
      <w:pPr>
        <w:pStyle w:val="2"/>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90" w:lineRule="exact"/>
        <w:ind w:left="1920" w:leftChars="200" w:right="0" w:rightChars="0" w:hanging="1280" w:hangingChars="400"/>
        <w:jc w:val="both"/>
        <w:textAlignment w:val="auto"/>
        <w:rPr>
          <w:rFonts w:hint="default"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1.澄江市</w:t>
      </w:r>
      <w:r>
        <w:rPr>
          <w:rFonts w:hint="default" w:ascii="Times New Roman" w:hAnsi="Times New Roman" w:eastAsia="方正仿宋_GBK" w:cs="Times New Roman"/>
          <w:color w:val="auto"/>
          <w:sz w:val="32"/>
          <w:szCs w:val="32"/>
          <w:lang w:val="en-US" w:eastAsia="zh-CN"/>
        </w:rPr>
        <w:t>2022年省级财政衔接推进乡村振兴补助</w:t>
      </w:r>
    </w:p>
    <w:p>
      <w:pPr>
        <w:keepNext w:val="0"/>
        <w:keepLines w:val="0"/>
        <w:pageBreakBefore w:val="0"/>
        <w:widowControl w:val="0"/>
        <w:kinsoku/>
        <w:wordWrap/>
        <w:overflowPunct/>
        <w:topLinePunct w:val="0"/>
        <w:autoSpaceDE/>
        <w:autoSpaceDN/>
        <w:bidi w:val="0"/>
        <w:spacing w:line="590" w:lineRule="exact"/>
        <w:ind w:left="1920" w:leftChars="600" w:right="0" w:righ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资金分配</w:t>
      </w:r>
      <w:r>
        <w:rPr>
          <w:rFonts w:hint="default" w:ascii="Times New Roman" w:hAnsi="Times New Roman" w:eastAsia="方正仿宋_GBK" w:cs="Times New Roman"/>
          <w:sz w:val="32"/>
          <w:szCs w:val="32"/>
        </w:rPr>
        <w:t>表</w:t>
      </w:r>
    </w:p>
    <w:p>
      <w:pPr>
        <w:keepNext w:val="0"/>
        <w:keepLines w:val="0"/>
        <w:pageBreakBefore w:val="0"/>
        <w:widowControl w:val="0"/>
        <w:numPr>
          <w:ilvl w:val="0"/>
          <w:numId w:val="0"/>
        </w:numPr>
        <w:kinsoku/>
        <w:wordWrap/>
        <w:overflowPunct/>
        <w:topLinePunct w:val="0"/>
        <w:autoSpaceDE/>
        <w:autoSpaceDN/>
        <w:bidi w:val="0"/>
        <w:spacing w:line="590" w:lineRule="exact"/>
        <w:ind w:left="1920" w:leftChars="500" w:right="0" w:rightChars="0" w:hanging="320" w:hangingChars="100"/>
        <w:jc w:val="both"/>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澄江市</w:t>
      </w:r>
      <w:r>
        <w:rPr>
          <w:rFonts w:hint="default" w:ascii="Times New Roman" w:hAnsi="Times New Roman" w:eastAsia="方正仿宋_GBK" w:cs="Times New Roman"/>
          <w:color w:val="auto"/>
          <w:sz w:val="32"/>
          <w:szCs w:val="32"/>
          <w:lang w:val="en-US" w:eastAsia="zh-CN"/>
        </w:rPr>
        <w:t>2022年省级财政衔接推进乡村振兴补助资金</w:t>
      </w:r>
      <w:r>
        <w:rPr>
          <w:rFonts w:hint="default" w:ascii="Times New Roman" w:hAnsi="Times New Roman" w:eastAsia="方正仿宋_GBK" w:cs="Times New Roman"/>
          <w:sz w:val="32"/>
          <w:szCs w:val="32"/>
          <w:lang w:val="en-US" w:eastAsia="zh-CN"/>
        </w:rPr>
        <w:t>建设项目绩效目标表</w:t>
      </w:r>
    </w:p>
    <w:p>
      <w:pPr>
        <w:pStyle w:val="2"/>
        <w:keepNext w:val="0"/>
        <w:keepLines w:val="0"/>
        <w:pageBreakBefore w:val="0"/>
        <w:widowControl w:val="0"/>
        <w:numPr>
          <w:ilvl w:val="0"/>
          <w:numId w:val="0"/>
        </w:numPr>
        <w:kinsoku/>
        <w:wordWrap/>
        <w:overflowPunct/>
        <w:topLinePunct w:val="0"/>
        <w:autoSpaceDE/>
        <w:autoSpaceDN/>
        <w:bidi w:val="0"/>
        <w:spacing w:afterAutospacing="0" w:line="590" w:lineRule="exact"/>
        <w:jc w:val="both"/>
        <w:textAlignment w:val="auto"/>
        <w:rPr>
          <w:rFonts w:hint="default" w:ascii="Times New Roman" w:hAnsi="Times New Roman" w:cs="Times New Roman"/>
        </w:rPr>
      </w:pPr>
    </w:p>
    <w:p>
      <w:pPr>
        <w:pStyle w:val="2"/>
        <w:keepNext w:val="0"/>
        <w:keepLines w:val="0"/>
        <w:pageBreakBefore w:val="0"/>
        <w:widowControl w:val="0"/>
        <w:numPr>
          <w:ilvl w:val="0"/>
          <w:numId w:val="0"/>
        </w:numPr>
        <w:kinsoku/>
        <w:wordWrap/>
        <w:overflowPunct/>
        <w:topLinePunct w:val="0"/>
        <w:autoSpaceDE/>
        <w:autoSpaceDN/>
        <w:bidi w:val="0"/>
        <w:spacing w:afterAutospacing="0" w:line="590" w:lineRule="exact"/>
        <w:jc w:val="both"/>
        <w:textAlignment w:val="auto"/>
        <w:rPr>
          <w:rFonts w:hint="default" w:ascii="Times New Roman" w:hAnsi="Times New Roman" w:cs="Times New Roman"/>
        </w:rPr>
      </w:pPr>
    </w:p>
    <w:p>
      <w:pPr>
        <w:pStyle w:val="2"/>
        <w:keepNext w:val="0"/>
        <w:keepLines w:val="0"/>
        <w:pageBreakBefore w:val="0"/>
        <w:widowControl w:val="0"/>
        <w:numPr>
          <w:ilvl w:val="0"/>
          <w:numId w:val="0"/>
        </w:numPr>
        <w:kinsoku/>
        <w:wordWrap/>
        <w:overflowPunct/>
        <w:topLinePunct w:val="0"/>
        <w:autoSpaceDE/>
        <w:autoSpaceDN/>
        <w:bidi w:val="0"/>
        <w:spacing w:afterAutospacing="0" w:line="590" w:lineRule="exact"/>
        <w:jc w:val="both"/>
        <w:textAlignment w:val="auto"/>
        <w:rPr>
          <w:rFonts w:hint="default" w:ascii="Times New Roman" w:hAnsi="Times New Roman" w:cs="Times New Roman"/>
        </w:rPr>
      </w:pPr>
    </w:p>
    <w:p>
      <w:pPr>
        <w:pStyle w:val="2"/>
        <w:keepNext w:val="0"/>
        <w:keepLines w:val="0"/>
        <w:pageBreakBefore w:val="0"/>
        <w:widowControl w:val="0"/>
        <w:numPr>
          <w:ilvl w:val="0"/>
          <w:numId w:val="0"/>
        </w:numPr>
        <w:kinsoku/>
        <w:wordWrap/>
        <w:overflowPunct/>
        <w:topLinePunct w:val="0"/>
        <w:autoSpaceDE/>
        <w:autoSpaceDN/>
        <w:bidi w:val="0"/>
        <w:spacing w:afterAutospacing="0" w:line="590" w:lineRule="exact"/>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kern w:val="2"/>
          <w:sz w:val="32"/>
          <w:szCs w:val="32"/>
          <w:lang w:val="en-US" w:eastAsia="zh-CN" w:bidi="ar-SA"/>
        </w:rPr>
        <w:t xml:space="preserve">    澄江市财政局           澄江市农业农村局</w:t>
      </w:r>
    </w:p>
    <w:p>
      <w:pPr>
        <w:pStyle w:val="2"/>
        <w:keepNext w:val="0"/>
        <w:keepLines w:val="0"/>
        <w:pageBreakBefore w:val="0"/>
        <w:widowControl w:val="0"/>
        <w:numPr>
          <w:ilvl w:val="0"/>
          <w:numId w:val="0"/>
        </w:numPr>
        <w:kinsoku/>
        <w:wordWrap/>
        <w:overflowPunct/>
        <w:topLinePunct w:val="0"/>
        <w:autoSpaceDE/>
        <w:autoSpaceDN/>
        <w:bidi w:val="0"/>
        <w:spacing w:afterAutospacing="0" w:line="590" w:lineRule="exact"/>
        <w:ind w:firstLine="1920" w:firstLineChars="6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w:t>
      </w:r>
      <w:r>
        <w:rPr>
          <w:rFonts w:hint="eastAsia"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2022年</w:t>
      </w:r>
      <w:r>
        <w:rPr>
          <w:rFonts w:hint="eastAsia" w:eastAsia="方正仿宋_GBK" w:cs="Times New Roman"/>
          <w:kern w:val="2"/>
          <w:sz w:val="32"/>
          <w:szCs w:val="32"/>
          <w:lang w:val="en-US" w:eastAsia="zh-CN" w:bidi="ar-SA"/>
        </w:rPr>
        <w:t>8</w:t>
      </w:r>
      <w:r>
        <w:rPr>
          <w:rFonts w:hint="default" w:ascii="Times New Roman" w:hAnsi="Times New Roman" w:eastAsia="方正仿宋_GBK" w:cs="Times New Roman"/>
          <w:kern w:val="2"/>
          <w:sz w:val="32"/>
          <w:szCs w:val="32"/>
          <w:lang w:val="en-US" w:eastAsia="zh-CN" w:bidi="ar-SA"/>
        </w:rPr>
        <w:t>月</w:t>
      </w:r>
      <w:r>
        <w:rPr>
          <w:rFonts w:hint="eastAsia" w:eastAsia="方正仿宋_GBK" w:cs="Times New Roman"/>
          <w:kern w:val="2"/>
          <w:sz w:val="32"/>
          <w:szCs w:val="32"/>
          <w:lang w:val="en-US" w:eastAsia="zh-CN" w:bidi="ar-SA"/>
        </w:rPr>
        <w:t>24</w:t>
      </w:r>
      <w:r>
        <w:rPr>
          <w:rFonts w:hint="default" w:ascii="Times New Roman" w:hAnsi="Times New Roman" w:eastAsia="方正仿宋_GBK" w:cs="Times New Roman"/>
          <w:kern w:val="2"/>
          <w:sz w:val="32"/>
          <w:szCs w:val="32"/>
          <w:lang w:val="en-US" w:eastAsia="zh-CN" w:bidi="ar-SA"/>
        </w:rPr>
        <w:t>日</w:t>
      </w:r>
    </w:p>
    <w:p>
      <w:pPr>
        <w:pStyle w:val="2"/>
        <w:keepNext w:val="0"/>
        <w:keepLines w:val="0"/>
        <w:pageBreakBefore w:val="0"/>
        <w:widowControl w:val="0"/>
        <w:numPr>
          <w:ilvl w:val="0"/>
          <w:numId w:val="0"/>
        </w:numPr>
        <w:kinsoku/>
        <w:wordWrap/>
        <w:overflowPunct/>
        <w:topLinePunct w:val="0"/>
        <w:autoSpaceDE/>
        <w:autoSpaceDN/>
        <w:bidi w:val="0"/>
        <w:spacing w:afterAutospacing="0" w:line="590" w:lineRule="exact"/>
        <w:ind w:firstLine="1920" w:firstLineChars="600"/>
        <w:jc w:val="both"/>
        <w:textAlignment w:val="auto"/>
        <w:rPr>
          <w:rFonts w:hint="default" w:ascii="Times New Roman" w:hAnsi="Times New Roman" w:eastAsia="方正仿宋_GBK" w:cs="Times New Roman"/>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spacing w:afterAutospacing="0" w:line="590" w:lineRule="exact"/>
        <w:ind w:firstLine="1920" w:firstLineChars="600"/>
        <w:jc w:val="both"/>
        <w:textAlignment w:val="auto"/>
        <w:rPr>
          <w:rFonts w:hint="default" w:ascii="Times New Roman" w:hAnsi="Times New Roman" w:eastAsia="方正仿宋_GBK" w:cs="Times New Roman"/>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spacing w:afterAutospacing="0" w:line="590" w:lineRule="exact"/>
        <w:ind w:firstLine="1920" w:firstLineChars="600"/>
        <w:jc w:val="both"/>
        <w:textAlignment w:val="auto"/>
        <w:rPr>
          <w:rFonts w:hint="default" w:ascii="Times New Roman" w:hAnsi="Times New Roman" w:eastAsia="方正仿宋_GBK" w:cs="Times New Roman"/>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spacing w:afterAutospacing="0" w:line="590" w:lineRule="exact"/>
        <w:ind w:firstLine="1920" w:firstLineChars="600"/>
        <w:jc w:val="both"/>
        <w:textAlignment w:val="auto"/>
        <w:rPr>
          <w:rFonts w:hint="default" w:ascii="Times New Roman" w:hAnsi="Times New Roman" w:eastAsia="方正仿宋_GBK" w:cs="Times New Roman"/>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spacing w:afterAutospacing="0" w:line="590" w:lineRule="exact"/>
        <w:ind w:firstLine="1920" w:firstLineChars="600"/>
        <w:jc w:val="both"/>
        <w:textAlignment w:val="auto"/>
        <w:rPr>
          <w:rFonts w:hint="default" w:ascii="Times New Roman" w:hAnsi="Times New Roman" w:eastAsia="方正仿宋_GBK" w:cs="Times New Roman"/>
          <w:kern w:val="2"/>
          <w:sz w:val="32"/>
          <w:szCs w:val="32"/>
          <w:lang w:val="en-US" w:eastAsia="zh-CN" w:bidi="ar-SA"/>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textAlignment w:val="center"/>
        <w:rPr>
          <w:rFonts w:hint="default"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90" w:lineRule="exact"/>
        <w:ind w:right="640"/>
        <w:jc w:val="center"/>
        <w:textAlignment w:val="auto"/>
        <w:outlineLvl w:val="9"/>
        <w:rPr>
          <w:rFonts w:hint="default" w:ascii="方正小标宋_GBK" w:hAnsi="方正小标宋_GBK" w:eastAsia="方正小标宋_GBK" w:cs="方正小标宋_GBK"/>
          <w:color w:val="282828"/>
          <w:sz w:val="36"/>
          <w:szCs w:val="36"/>
          <w:lang w:val="en-US" w:eastAsia="zh-CN"/>
        </w:rPr>
      </w:pPr>
      <w:r>
        <w:rPr>
          <w:rFonts w:hint="eastAsia" w:ascii="方正小标宋_GBK" w:hAnsi="方正小标宋_GBK" w:eastAsia="方正小标宋_GBK" w:cs="方正小标宋_GBK"/>
          <w:color w:val="282828"/>
          <w:sz w:val="36"/>
          <w:szCs w:val="36"/>
          <w:lang w:val="en-US" w:eastAsia="zh-CN"/>
        </w:rPr>
        <w:t xml:space="preserve">         </w:t>
      </w:r>
      <w:r>
        <w:rPr>
          <w:rFonts w:hint="default" w:ascii="方正小标宋_GBK" w:hAnsi="方正小标宋_GBK" w:eastAsia="方正小标宋_GBK" w:cs="方正小标宋_GBK"/>
          <w:color w:val="282828"/>
          <w:sz w:val="36"/>
          <w:szCs w:val="36"/>
          <w:lang w:val="en-US" w:eastAsia="zh-CN"/>
        </w:rPr>
        <w:t>澄江市2022年省级财政衔接推进乡村振兴补助</w:t>
      </w:r>
      <w:r>
        <w:rPr>
          <w:rFonts w:hint="default" w:ascii="方正小标宋_GBK" w:hAnsi="方正小标宋_GBK" w:eastAsia="方正小标宋_GBK" w:cs="方正小标宋_GBK"/>
          <w:color w:val="282828"/>
          <w:sz w:val="36"/>
          <w:szCs w:val="36"/>
          <w:lang w:eastAsia="zh-CN"/>
        </w:rPr>
        <w:t>资金分配</w:t>
      </w:r>
      <w:r>
        <w:rPr>
          <w:rFonts w:hint="default" w:ascii="方正小标宋_GBK" w:hAnsi="方正小标宋_GBK" w:eastAsia="方正小标宋_GBK" w:cs="方正小标宋_GBK"/>
          <w:color w:val="282828"/>
          <w:sz w:val="36"/>
          <w:szCs w:val="36"/>
        </w:rPr>
        <w:t>表</w:t>
      </w:r>
      <w:r>
        <w:rPr>
          <w:rFonts w:hint="eastAsia" w:eastAsia="方正仿宋_GBK" w:cs="Times New Roman"/>
          <w:sz w:val="32"/>
          <w:szCs w:val="32"/>
          <w:lang w:val="en-US" w:eastAsia="zh-CN"/>
        </w:rPr>
        <w:t xml:space="preserve">      </w:t>
      </w:r>
      <w:r>
        <w:rPr>
          <w:rFonts w:hint="eastAsia" w:ascii="宋体" w:hAnsi="宋体" w:eastAsia="宋体" w:cs="宋体"/>
          <w:color w:val="282828"/>
          <w:sz w:val="52"/>
          <w:szCs w:val="52"/>
          <w:vertAlign w:val="subscript"/>
          <w:lang w:val="en-US" w:eastAsia="zh-CN"/>
        </w:rPr>
        <w:t>单位：万元</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41"/>
        <w:gridCol w:w="1250"/>
        <w:gridCol w:w="3464"/>
        <w:gridCol w:w="756"/>
        <w:gridCol w:w="756"/>
        <w:gridCol w:w="823"/>
        <w:gridCol w:w="824"/>
        <w:gridCol w:w="1377"/>
        <w:gridCol w:w="1117"/>
        <w:gridCol w:w="1527"/>
        <w:gridCol w:w="1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街、镇</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3159" w:type="dxa"/>
            <w:gridSpan w:val="4"/>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资金分配情况（万元）</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功能分类科目</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政府预算分类科目</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批复文件</w:t>
            </w:r>
          </w:p>
        </w:tc>
        <w:tc>
          <w:tcPr>
            <w:tcW w:w="1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巩固提升项目</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产业扶持项目</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项目管理费</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7"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998</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514.59</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475.71</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7.7</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方正仿宋_GBK" w:hAnsi="方正仿宋_GBK" w:eastAsia="方正仿宋_GBK" w:cs="方正仿宋_GBK"/>
                <w:i w:val="0"/>
                <w:color w:val="000000"/>
                <w:sz w:val="24"/>
                <w:szCs w:val="24"/>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3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lang w:val="en-US" w:eastAsia="zh-CN"/>
              </w:rPr>
            </w:pPr>
            <w:r>
              <w:rPr>
                <w:rFonts w:hint="eastAsia" w:ascii="宋体" w:hAnsi="宋体" w:eastAsia="宋体" w:cs="宋体"/>
                <w:b/>
                <w:i w:val="0"/>
                <w:color w:val="000000"/>
                <w:sz w:val="28"/>
                <w:szCs w:val="28"/>
                <w:u w:val="none"/>
                <w:lang w:val="en-US" w:eastAsia="zh-CN"/>
              </w:rPr>
              <w:t>一</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农业农村局</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21</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21</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方正仿宋_GBK" w:hAnsi="方正仿宋_GBK" w:eastAsia="方正仿宋_GBK" w:cs="方正仿宋_GBK"/>
                <w:i w:val="0"/>
                <w:color w:val="000000"/>
                <w:sz w:val="24"/>
                <w:szCs w:val="24"/>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3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澄江市2022年跨省务工交通补助</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2130599其他巩固脱贫衔接乡村振兴支出</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50205委托业务费</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澄政复〔2022〕101号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3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lang w:val="en-US" w:eastAsia="zh-CN"/>
              </w:rPr>
            </w:pPr>
            <w:r>
              <w:rPr>
                <w:rFonts w:hint="eastAsia" w:ascii="宋体" w:hAnsi="宋体" w:eastAsia="宋体" w:cs="宋体"/>
                <w:b/>
                <w:i w:val="0"/>
                <w:color w:val="000000"/>
                <w:sz w:val="28"/>
                <w:szCs w:val="28"/>
                <w:u w:val="none"/>
                <w:lang w:val="en-US" w:eastAsia="zh-CN"/>
              </w:rPr>
              <w:t>二</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凤麓街道</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2.7</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2.7</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方正仿宋_GBK" w:hAnsi="方正仿宋_GBK" w:eastAsia="方正仿宋_GBK" w:cs="方正仿宋_GBK"/>
                <w:i w:val="0"/>
                <w:color w:val="000000"/>
                <w:sz w:val="24"/>
                <w:szCs w:val="24"/>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58" w:hRule="atLeast"/>
        </w:trPr>
        <w:tc>
          <w:tcPr>
            <w:tcW w:w="3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1</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澄江市2022年度雨露计划</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2130599其他巩固脱贫衔接乡村振兴支出</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50205委托业务费</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澄政复〔2022〕78号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84" w:hRule="atLeast"/>
        </w:trPr>
        <w:tc>
          <w:tcPr>
            <w:tcW w:w="341"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2</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澄江市2022年乡村振兴公益岗位</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2130599其他巩固脱贫衔接乡村振兴支出</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50205委托业务费</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澄政复〔2022〕102号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34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1250"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街、镇</w:t>
            </w:r>
          </w:p>
        </w:tc>
        <w:tc>
          <w:tcPr>
            <w:tcW w:w="34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31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资金分配情况（万元）</w:t>
            </w:r>
          </w:p>
        </w:tc>
        <w:tc>
          <w:tcPr>
            <w:tcW w:w="137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功能分类科目</w:t>
            </w:r>
          </w:p>
        </w:tc>
        <w:tc>
          <w:tcPr>
            <w:tcW w:w="111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政府预算分类科目</w:t>
            </w:r>
          </w:p>
        </w:tc>
        <w:tc>
          <w:tcPr>
            <w:tcW w:w="152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批复文件</w:t>
            </w:r>
          </w:p>
        </w:tc>
        <w:tc>
          <w:tcPr>
            <w:tcW w:w="175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34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250"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346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小计</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巩固提升项目</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产业扶持项目</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项目管理费</w:t>
            </w:r>
          </w:p>
        </w:tc>
        <w:tc>
          <w:tcPr>
            <w:tcW w:w="137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2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方正仿宋_GBK" w:hAnsi="方正仿宋_GBK" w:eastAsia="方正仿宋_GBK" w:cs="方正仿宋_GBK"/>
                <w:i w:val="0"/>
                <w:color w:val="000000"/>
                <w:sz w:val="24"/>
                <w:szCs w:val="24"/>
                <w:u w:val="none"/>
              </w:rPr>
            </w:pPr>
          </w:p>
        </w:tc>
        <w:tc>
          <w:tcPr>
            <w:tcW w:w="175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1" w:hRule="atLeast"/>
        </w:trPr>
        <w:tc>
          <w:tcPr>
            <w:tcW w:w="34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lang w:val="en-US" w:eastAsia="zh-CN"/>
              </w:rPr>
            </w:pPr>
            <w:r>
              <w:rPr>
                <w:rFonts w:hint="eastAsia" w:ascii="宋体" w:hAnsi="宋体" w:eastAsia="宋体" w:cs="宋体"/>
                <w:b/>
                <w:i w:val="0"/>
                <w:color w:val="000000"/>
                <w:sz w:val="28"/>
                <w:szCs w:val="28"/>
                <w:u w:val="none"/>
                <w:lang w:val="en-US" w:eastAsia="zh-CN"/>
              </w:rPr>
              <w:t>三</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龙街街道</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42.9</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42.9</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方正仿宋_GBK" w:hAnsi="方正仿宋_GBK" w:eastAsia="方正仿宋_GBK" w:cs="方正仿宋_GBK"/>
                <w:i w:val="0"/>
                <w:color w:val="000000"/>
                <w:sz w:val="24"/>
                <w:szCs w:val="24"/>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25" w:hRule="atLeast"/>
        </w:trPr>
        <w:tc>
          <w:tcPr>
            <w:tcW w:w="3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1</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澄江市2022年度雨露计划</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2130599其他巩固脱贫衔接乡村振兴支出</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50205委托业务费</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澄政复〔2022〕78号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3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2</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澄江市2022年乡村振兴公益岗位</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33.6</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33.6</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2130599其他巩固脱贫衔接乡村振兴支出</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50205委托业务费</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澄政复〔2022〕102号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8" w:hRule="atLeast"/>
        </w:trPr>
        <w:tc>
          <w:tcPr>
            <w:tcW w:w="3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lang w:val="en-US" w:eastAsia="zh-CN"/>
              </w:rPr>
            </w:pPr>
            <w:r>
              <w:rPr>
                <w:rFonts w:hint="eastAsia" w:ascii="宋体" w:hAnsi="宋体" w:eastAsia="宋体" w:cs="宋体"/>
                <w:b/>
                <w:i w:val="0"/>
                <w:color w:val="000000"/>
                <w:sz w:val="28"/>
                <w:szCs w:val="28"/>
                <w:u w:val="none"/>
                <w:lang w:val="en-US" w:eastAsia="zh-CN"/>
              </w:rPr>
              <w:t>四</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右所镇</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63.02</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63.02</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方正仿宋_GBK" w:hAnsi="方正仿宋_GBK" w:eastAsia="方正仿宋_GBK" w:cs="方正仿宋_GBK"/>
                <w:i w:val="0"/>
                <w:color w:val="000000"/>
                <w:sz w:val="24"/>
                <w:szCs w:val="24"/>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3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1</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澄江市2022年度雨露计划</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2130599其他巩固脱贫衔接乡村振兴支出</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50205委托业务费</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澄政复〔2022〕78号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3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2</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澄江市2022年乡村振兴公益岗位</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2130599其他巩固脱贫衔接乡村振兴支出</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50205委托业务费</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澄政复〔2022〕102号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89" w:hRule="atLeast"/>
        </w:trPr>
        <w:tc>
          <w:tcPr>
            <w:tcW w:w="341"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3</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澄江市右所镇补益村委会2021年巩固拓展脱贫攻坚成果道路硬化建设项目</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52.52</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52.52</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2130504农村基础设施建设</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50402基础设施建设</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澄政复〔2022〕16号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项目审计金额118.16万元，已经下达65.64万元，本次下达52.52万元。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34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1250"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街、镇</w:t>
            </w:r>
          </w:p>
        </w:tc>
        <w:tc>
          <w:tcPr>
            <w:tcW w:w="34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31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资金分配情况（万元）</w:t>
            </w:r>
          </w:p>
        </w:tc>
        <w:tc>
          <w:tcPr>
            <w:tcW w:w="137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功能分类科目</w:t>
            </w:r>
          </w:p>
        </w:tc>
        <w:tc>
          <w:tcPr>
            <w:tcW w:w="111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政府预算分类科目</w:t>
            </w:r>
          </w:p>
        </w:tc>
        <w:tc>
          <w:tcPr>
            <w:tcW w:w="152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批复文件</w:t>
            </w:r>
          </w:p>
        </w:tc>
        <w:tc>
          <w:tcPr>
            <w:tcW w:w="175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34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250"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346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小计</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巩固提升项目</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产业扶持项目</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项目管理费</w:t>
            </w:r>
          </w:p>
        </w:tc>
        <w:tc>
          <w:tcPr>
            <w:tcW w:w="137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2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175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34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lang w:val="en-US" w:eastAsia="zh-CN"/>
              </w:rPr>
            </w:pPr>
            <w:r>
              <w:rPr>
                <w:rFonts w:hint="eastAsia" w:ascii="宋体" w:hAnsi="宋体" w:eastAsia="宋体" w:cs="宋体"/>
                <w:b/>
                <w:i w:val="0"/>
                <w:color w:val="000000"/>
                <w:sz w:val="28"/>
                <w:szCs w:val="28"/>
                <w:u w:val="none"/>
                <w:lang w:val="en-US" w:eastAsia="zh-CN"/>
              </w:rPr>
              <w:t>五</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路居镇</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139.9</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39.9</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3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1</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澄江市2022年度雨露计划</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2130599其他巩固脱贫衔接乡村振兴支出</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50205委托业务费</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澄政复〔2022〕78号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3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2</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澄江市2022年乡村振兴公益岗位</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34.8</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34.8</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2130599其他巩固脱贫衔接乡村振兴支出</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50205委托业务费</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澄政复〔2022〕102号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3</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路居镇上坝村委会2022年衔接推进乡村振兴-梅竹二组烤房建设项目</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2130505生产发展</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50499其他资本性支出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澄政复〔2022〕69号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3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4</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路居镇中坝社区2022年衔接推进乡村振兴-百亩小组烤房建设项目</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2130505生产发展</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50499其他资本性支出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澄政复〔2022〕68号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3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lang w:val="en-US" w:eastAsia="zh-CN"/>
              </w:rPr>
            </w:pPr>
            <w:r>
              <w:rPr>
                <w:rFonts w:hint="eastAsia" w:ascii="宋体" w:hAnsi="宋体" w:eastAsia="宋体" w:cs="宋体"/>
                <w:b/>
                <w:i w:val="0"/>
                <w:color w:val="000000"/>
                <w:sz w:val="28"/>
                <w:szCs w:val="28"/>
                <w:u w:val="none"/>
                <w:lang w:val="en-US" w:eastAsia="zh-CN"/>
              </w:rPr>
              <w:t>六</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海口镇</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267.72</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57.6</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209.22</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0" w:hRule="atLeast"/>
        </w:trPr>
        <w:tc>
          <w:tcPr>
            <w:tcW w:w="341"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1</w:t>
            </w:r>
          </w:p>
        </w:tc>
        <w:tc>
          <w:tcPr>
            <w:tcW w:w="346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澄江市2022年度雨露计划</w:t>
            </w:r>
          </w:p>
        </w:tc>
        <w:tc>
          <w:tcPr>
            <w:tcW w:w="75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75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82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2130599其他巩固脱贫衔接乡村振兴支出</w:t>
            </w:r>
          </w:p>
        </w:tc>
        <w:tc>
          <w:tcPr>
            <w:tcW w:w="11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50205委托业务费</w:t>
            </w:r>
          </w:p>
        </w:tc>
        <w:tc>
          <w:tcPr>
            <w:tcW w:w="152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澄政复〔2022〕78号</w:t>
            </w:r>
          </w:p>
        </w:tc>
        <w:tc>
          <w:tcPr>
            <w:tcW w:w="175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0" w:hRule="atLeast"/>
        </w:trPr>
        <w:tc>
          <w:tcPr>
            <w:tcW w:w="34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序号</w:t>
            </w:r>
          </w:p>
        </w:tc>
        <w:tc>
          <w:tcPr>
            <w:tcW w:w="125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街、镇</w:t>
            </w:r>
          </w:p>
        </w:tc>
        <w:tc>
          <w:tcPr>
            <w:tcW w:w="346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项目名称</w:t>
            </w:r>
          </w:p>
        </w:tc>
        <w:tc>
          <w:tcPr>
            <w:tcW w:w="3159"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资金分配情况（万元）</w:t>
            </w:r>
          </w:p>
        </w:tc>
        <w:tc>
          <w:tcPr>
            <w:tcW w:w="137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b/>
                <w:i w:val="0"/>
                <w:color w:val="000000"/>
                <w:kern w:val="0"/>
                <w:sz w:val="24"/>
                <w:szCs w:val="24"/>
                <w:u w:val="none"/>
                <w:lang w:val="en-US" w:eastAsia="zh-CN" w:bidi="ar"/>
              </w:rPr>
              <w:t>功能分类科目</w:t>
            </w:r>
          </w:p>
        </w:tc>
        <w:tc>
          <w:tcPr>
            <w:tcW w:w="111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b/>
                <w:i w:val="0"/>
                <w:color w:val="000000"/>
                <w:kern w:val="0"/>
                <w:sz w:val="24"/>
                <w:szCs w:val="24"/>
                <w:u w:val="none"/>
                <w:lang w:val="en-US" w:eastAsia="zh-CN" w:bidi="ar"/>
              </w:rPr>
              <w:t>政府预算分类科目</w:t>
            </w:r>
          </w:p>
        </w:tc>
        <w:tc>
          <w:tcPr>
            <w:tcW w:w="152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批复文件</w:t>
            </w:r>
          </w:p>
        </w:tc>
        <w:tc>
          <w:tcPr>
            <w:tcW w:w="175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b/>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0" w:hRule="atLeast"/>
        </w:trPr>
        <w:tc>
          <w:tcPr>
            <w:tcW w:w="341"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250"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464"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5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小计</w:t>
            </w:r>
          </w:p>
        </w:tc>
        <w:tc>
          <w:tcPr>
            <w:tcW w:w="75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巩固提升项目</w:t>
            </w:r>
          </w:p>
        </w:tc>
        <w:tc>
          <w:tcPr>
            <w:tcW w:w="82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产业扶持项目</w:t>
            </w:r>
          </w:p>
        </w:tc>
        <w:tc>
          <w:tcPr>
            <w:tcW w:w="82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项目管理费</w:t>
            </w:r>
          </w:p>
        </w:tc>
        <w:tc>
          <w:tcPr>
            <w:tcW w:w="1377"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p>
        </w:tc>
        <w:tc>
          <w:tcPr>
            <w:tcW w:w="1117"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p>
        </w:tc>
        <w:tc>
          <w:tcPr>
            <w:tcW w:w="1527"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tc>
        <w:tc>
          <w:tcPr>
            <w:tcW w:w="1753"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2</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澄江市2022年乡村振兴公益岗位</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2130599其他巩固脱贫衔接乡村振兴支出</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50205委托业务费</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澄政复〔2022〕102号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3</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澄江市海口镇海口社区2022年衔接推进乡村振兴-上红坡小组烤房建设项目</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2130505生产发展</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50499其他资本性支出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澄政复〔2022〕61号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trPr>
        <w:tc>
          <w:tcPr>
            <w:tcW w:w="3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4</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澄江市海口镇海口社区2022年衔接推进乡村振兴—大桥小组烤房建设项目</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59.22</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59.22</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2130505生产发展</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50499其他资本性支出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澄政复〔2022〕63号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安排衔接资金120万元，</w:t>
            </w:r>
            <w:r>
              <w:rPr>
                <w:rFonts w:hint="eastAsia" w:ascii="宋体" w:hAnsi="宋体" w:eastAsia="宋体" w:cs="宋体"/>
                <w:i w:val="0"/>
                <w:color w:val="000000"/>
                <w:sz w:val="20"/>
                <w:szCs w:val="20"/>
                <w:u w:val="none"/>
                <w:lang w:val="en-US" w:eastAsia="zh-CN"/>
              </w:rPr>
              <w:t>第二批</w:t>
            </w:r>
            <w:r>
              <w:rPr>
                <w:rFonts w:hint="eastAsia" w:ascii="宋体" w:hAnsi="宋体" w:eastAsia="宋体" w:cs="宋体"/>
                <w:i w:val="0"/>
                <w:color w:val="000000"/>
                <w:sz w:val="20"/>
                <w:szCs w:val="20"/>
                <w:u w:val="none"/>
              </w:rPr>
              <w:t>已下达60.78万元，本次下达59.22万元。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3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5</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澄江市海口镇海镜社区2022年衔接推进乡村振兴—小山一组烤房建设项目</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2130505生产发展</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50499其他资本性支出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澄政复〔2022〕64号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安排衔接资金150万元，不足部分30万元用下一批资金安排。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40" w:hRule="atLeast"/>
        </w:trPr>
        <w:tc>
          <w:tcPr>
            <w:tcW w:w="341"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6</w:t>
            </w:r>
          </w:p>
        </w:tc>
        <w:tc>
          <w:tcPr>
            <w:tcW w:w="346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澄江市海口镇海镜社区汉排小组2022年省级财政衔接推进乡村振兴补助资金项目</w:t>
            </w:r>
          </w:p>
        </w:tc>
        <w:tc>
          <w:tcPr>
            <w:tcW w:w="75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30.9</w:t>
            </w:r>
          </w:p>
        </w:tc>
        <w:tc>
          <w:tcPr>
            <w:tcW w:w="75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82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w:t>
            </w:r>
          </w:p>
        </w:tc>
        <w:tc>
          <w:tcPr>
            <w:tcW w:w="137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2130504农村基础设施建设</w:t>
            </w:r>
          </w:p>
        </w:tc>
        <w:tc>
          <w:tcPr>
            <w:tcW w:w="11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50402基础设施建设</w:t>
            </w:r>
          </w:p>
        </w:tc>
        <w:tc>
          <w:tcPr>
            <w:tcW w:w="152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澄政复〔2022〕36号</w:t>
            </w:r>
          </w:p>
        </w:tc>
        <w:tc>
          <w:tcPr>
            <w:tcW w:w="175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项目总投资39.81万元，已经下达9.81万元，不足部分30万元用本次省级衔接资金补足。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34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125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街、镇</w:t>
            </w:r>
          </w:p>
        </w:tc>
        <w:tc>
          <w:tcPr>
            <w:tcW w:w="346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3159"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资金分配情况（万元）</w:t>
            </w:r>
          </w:p>
        </w:tc>
        <w:tc>
          <w:tcPr>
            <w:tcW w:w="137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功能分类科目</w:t>
            </w:r>
          </w:p>
        </w:tc>
        <w:tc>
          <w:tcPr>
            <w:tcW w:w="111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政府预算分类科目</w:t>
            </w:r>
          </w:p>
        </w:tc>
        <w:tc>
          <w:tcPr>
            <w:tcW w:w="152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批复文件</w:t>
            </w:r>
          </w:p>
        </w:tc>
        <w:tc>
          <w:tcPr>
            <w:tcW w:w="175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341"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250"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3464"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5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小计</w:t>
            </w:r>
          </w:p>
        </w:tc>
        <w:tc>
          <w:tcPr>
            <w:tcW w:w="75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巩固提升项目</w:t>
            </w:r>
          </w:p>
        </w:tc>
        <w:tc>
          <w:tcPr>
            <w:tcW w:w="82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产业扶持项目</w:t>
            </w:r>
          </w:p>
        </w:tc>
        <w:tc>
          <w:tcPr>
            <w:tcW w:w="82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项目管理费</w:t>
            </w:r>
          </w:p>
        </w:tc>
        <w:tc>
          <w:tcPr>
            <w:tcW w:w="1377"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7"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27"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753"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lang w:val="en-US" w:eastAsia="zh-CN"/>
              </w:rPr>
            </w:pPr>
            <w:r>
              <w:rPr>
                <w:rFonts w:hint="eastAsia" w:ascii="宋体" w:hAnsi="宋体" w:eastAsia="宋体" w:cs="宋体"/>
                <w:b/>
                <w:i w:val="0"/>
                <w:color w:val="000000"/>
                <w:sz w:val="28"/>
                <w:szCs w:val="28"/>
                <w:u w:val="none"/>
                <w:lang w:val="en-US" w:eastAsia="zh-CN"/>
              </w:rPr>
              <w:t>七</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九村镇</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460.76</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287.47</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166.49</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6.8</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3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1</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澄江市2022年度雨露计划</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2130599其他巩固脱贫衔接乡村振兴支出</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50205委托业务费</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澄政复〔2022〕78号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3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2</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澄江市2022年乡村振兴公益岗位</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2130599其他巩固脱贫衔接乡村振兴支出</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50205委托业务费</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澄政复〔2022〕102号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0" w:hRule="atLeast"/>
        </w:trPr>
        <w:tc>
          <w:tcPr>
            <w:tcW w:w="3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3</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澄江市九村镇龙潭村委会2021年产业扶持—龙潭民族团结示范村蔬菜配送中心建设项目</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166.49</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166.49</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2130505生产发展</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50499其他资本性支出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澄政复〔2022〕38号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0" w:hRule="atLeast"/>
        </w:trPr>
        <w:tc>
          <w:tcPr>
            <w:tcW w:w="3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4</w:t>
            </w:r>
          </w:p>
        </w:tc>
        <w:tc>
          <w:tcPr>
            <w:tcW w:w="3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澄江市九村镇七江村委会2022年财政衔接推进乡村振兴—七江小组地灾搬迁安置点村内道路建设项目</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234.07</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227.27</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2130504农村基础设施建设</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50402基础设施建设</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澄政复〔2022〕100号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pStyle w:val="2"/>
        <w:widowControl w:val="0"/>
        <w:numPr>
          <w:ilvl w:val="0"/>
          <w:numId w:val="0"/>
        </w:numPr>
        <w:spacing w:afterAutospacing="0"/>
        <w:jc w:val="both"/>
        <w:rPr>
          <w:rFonts w:hint="default" w:ascii="Times New Roman" w:hAnsi="Times New Roman" w:eastAsia="方正仿宋_GBK" w:cs="Times New Roman"/>
          <w:kern w:val="2"/>
          <w:sz w:val="32"/>
          <w:szCs w:val="32"/>
          <w:lang w:val="en-US" w:eastAsia="zh-CN" w:bidi="ar-SA"/>
        </w:rPr>
      </w:pPr>
    </w:p>
    <w:p>
      <w:pPr>
        <w:pStyle w:val="2"/>
        <w:widowControl w:val="0"/>
        <w:numPr>
          <w:ilvl w:val="0"/>
          <w:numId w:val="0"/>
        </w:numPr>
        <w:spacing w:afterAutospacing="0"/>
        <w:ind w:firstLine="1920" w:firstLineChars="600"/>
        <w:jc w:val="both"/>
        <w:rPr>
          <w:rFonts w:hint="default" w:ascii="Times New Roman" w:hAnsi="Times New Roman" w:eastAsia="方正仿宋_GBK" w:cs="Times New Roman"/>
          <w:kern w:val="2"/>
          <w:sz w:val="32"/>
          <w:szCs w:val="32"/>
          <w:lang w:val="en-US" w:eastAsia="zh-CN" w:bidi="ar-SA"/>
        </w:rPr>
      </w:pPr>
    </w:p>
    <w:p>
      <w:pPr>
        <w:pStyle w:val="2"/>
        <w:widowControl w:val="0"/>
        <w:numPr>
          <w:ilvl w:val="0"/>
          <w:numId w:val="0"/>
        </w:numPr>
        <w:spacing w:afterAutospacing="0"/>
        <w:ind w:firstLine="1920" w:firstLineChars="600"/>
        <w:jc w:val="both"/>
        <w:rPr>
          <w:rFonts w:hint="default" w:ascii="Times New Roman" w:hAnsi="Times New Roman" w:eastAsia="方正仿宋_GBK" w:cs="Times New Roman"/>
          <w:kern w:val="2"/>
          <w:sz w:val="32"/>
          <w:szCs w:val="32"/>
          <w:lang w:val="en-US" w:eastAsia="zh-CN" w:bidi="ar-SA"/>
        </w:rPr>
        <w:sectPr>
          <w:pgSz w:w="16838" w:h="11906" w:orient="landscape"/>
          <w:pgMar w:top="1803" w:right="1440" w:bottom="1803" w:left="1440" w:header="851" w:footer="992" w:gutter="0"/>
          <w:pgNumType w:fmt="decimal"/>
          <w:cols w:space="0" w:num="1"/>
          <w:rtlGutter w:val="0"/>
          <w:docGrid w:type="lines" w:linePitch="436" w:charSpace="0"/>
        </w:sectPr>
      </w:pPr>
    </w:p>
    <w:p>
      <w:pPr>
        <w:rPr>
          <w:rFonts w:hint="eastAsia" w:ascii="宋体" w:hAnsi="宋体" w:eastAsia="方正黑体_GBK" w:cs="宋体"/>
          <w:spacing w:val="-20"/>
          <w:sz w:val="24"/>
          <w:szCs w:val="24"/>
          <w:lang w:val="en-US" w:eastAsia="zh-CN"/>
        </w:rPr>
      </w:pPr>
      <w:r>
        <w:rPr>
          <w:rFonts w:hint="eastAsia" w:ascii="方正黑体_GBK" w:hAnsi="方正黑体_GBK" w:eastAsia="方正黑体_GBK" w:cs="方正黑体_GBK"/>
          <w:spacing w:val="-20"/>
          <w:sz w:val="24"/>
          <w:szCs w:val="24"/>
        </w:rPr>
        <w:t>附件</w:t>
      </w:r>
      <w:r>
        <w:rPr>
          <w:rFonts w:hint="eastAsia" w:ascii="方正黑体_GBK" w:hAnsi="方正黑体_GBK" w:eastAsia="方正黑体_GBK" w:cs="方正黑体_GBK"/>
          <w:spacing w:val="-20"/>
          <w:sz w:val="24"/>
          <w:szCs w:val="24"/>
          <w:lang w:val="en-US" w:eastAsia="zh-CN"/>
        </w:rPr>
        <w:t>2</w:t>
      </w:r>
    </w:p>
    <w:p>
      <w:pPr>
        <w:jc w:val="center"/>
        <w:rPr>
          <w:rFonts w:hint="eastAsia" w:ascii="方正小标宋_GBK" w:hAnsi="方正小标宋_GBK" w:eastAsia="方正小标宋_GBK" w:cs="方正小标宋_GBK"/>
          <w:spacing w:val="-20"/>
          <w:sz w:val="36"/>
          <w:szCs w:val="36"/>
        </w:rPr>
      </w:pPr>
      <w:r>
        <w:rPr>
          <w:rFonts w:hint="eastAsia" w:ascii="方正小标宋_GBK" w:hAnsi="方正小标宋_GBK" w:eastAsia="方正小标宋_GBK" w:cs="方正小标宋_GBK"/>
          <w:sz w:val="36"/>
          <w:szCs w:val="36"/>
          <w:lang w:val="en-US" w:eastAsia="zh-CN"/>
        </w:rPr>
        <w:t>澄江市</w:t>
      </w:r>
      <w:r>
        <w:rPr>
          <w:rFonts w:hint="eastAsia" w:ascii="方正小标宋_GBK" w:hAnsi="方正小标宋_GBK" w:eastAsia="方正小标宋_GBK" w:cs="方正小标宋_GBK"/>
          <w:color w:val="auto"/>
          <w:sz w:val="36"/>
          <w:szCs w:val="36"/>
          <w:lang w:val="en-US" w:eastAsia="zh-CN"/>
        </w:rPr>
        <w:t>2022年省级财政衔接推进乡村振兴补助资金</w:t>
      </w:r>
      <w:r>
        <w:rPr>
          <w:rFonts w:hint="eastAsia" w:ascii="方正小标宋_GBK" w:hAnsi="方正小标宋_GBK" w:eastAsia="方正小标宋_GBK" w:cs="方正小标宋_GBK"/>
          <w:sz w:val="36"/>
          <w:szCs w:val="36"/>
          <w:lang w:val="en-US" w:eastAsia="zh-CN"/>
        </w:rPr>
        <w:t>建设项目绩效目标表</w:t>
      </w:r>
    </w:p>
    <w:tbl>
      <w:tblPr>
        <w:tblStyle w:val="5"/>
        <w:tblW w:w="10872" w:type="dxa"/>
        <w:tblInd w:w="0" w:type="dxa"/>
        <w:tblLayout w:type="fixed"/>
        <w:tblCellMar>
          <w:top w:w="15" w:type="dxa"/>
          <w:left w:w="15" w:type="dxa"/>
          <w:bottom w:w="15" w:type="dxa"/>
          <w:right w:w="15" w:type="dxa"/>
        </w:tblCellMar>
      </w:tblPr>
      <w:tblGrid>
        <w:gridCol w:w="876"/>
        <w:gridCol w:w="1128"/>
        <w:gridCol w:w="1537"/>
        <w:gridCol w:w="1201"/>
        <w:gridCol w:w="1861"/>
        <w:gridCol w:w="2457"/>
        <w:gridCol w:w="792"/>
        <w:gridCol w:w="1020"/>
      </w:tblGrid>
      <w:tr>
        <w:tblPrEx>
          <w:tblLayout w:type="fixed"/>
          <w:tblCellMar>
            <w:top w:w="15" w:type="dxa"/>
            <w:left w:w="15" w:type="dxa"/>
            <w:bottom w:w="15" w:type="dxa"/>
            <w:right w:w="15" w:type="dxa"/>
          </w:tblCellMar>
        </w:tblPrEx>
        <w:trPr>
          <w:gridAfter w:val="2"/>
          <w:wAfter w:w="1812" w:type="dxa"/>
          <w:trHeight w:val="752"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仿宋_GB2312" w:hAnsi="宋体" w:eastAsia="仿宋_GB2312" w:cs="仿宋_GB2312"/>
                <w:i w:val="0"/>
                <w:color w:val="000000"/>
                <w:kern w:val="0"/>
                <w:sz w:val="24"/>
                <w:szCs w:val="24"/>
                <w:u w:val="none"/>
                <w:lang w:val="en-US" w:eastAsia="zh-CN" w:bidi="ar"/>
              </w:rPr>
              <w:t>专项名称</w:t>
            </w:r>
          </w:p>
        </w:tc>
        <w:tc>
          <w:tcPr>
            <w:tcW w:w="705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仿宋_GB2312" w:hAnsi="宋体" w:eastAsia="仿宋_GB2312" w:cs="仿宋_GB2312"/>
                <w:i w:val="0"/>
                <w:color w:val="000000"/>
                <w:kern w:val="0"/>
                <w:sz w:val="24"/>
                <w:szCs w:val="24"/>
                <w:u w:val="none"/>
                <w:lang w:val="en-US" w:eastAsia="zh-CN" w:bidi="ar"/>
              </w:rPr>
              <w:t>澄江市2022年省级财政衔接推进乡村振兴补助资金建设项目</w:t>
            </w:r>
          </w:p>
        </w:tc>
      </w:tr>
      <w:tr>
        <w:tblPrEx>
          <w:tblLayout w:type="fixed"/>
          <w:tblCellMar>
            <w:top w:w="15" w:type="dxa"/>
            <w:left w:w="15" w:type="dxa"/>
            <w:bottom w:w="15" w:type="dxa"/>
            <w:right w:w="15" w:type="dxa"/>
          </w:tblCellMar>
        </w:tblPrEx>
        <w:trPr>
          <w:gridAfter w:val="2"/>
          <w:wAfter w:w="1812" w:type="dxa"/>
          <w:trHeight w:val="675"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市级财政主管部门</w:t>
            </w:r>
          </w:p>
        </w:tc>
        <w:tc>
          <w:tcPr>
            <w:tcW w:w="2738"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玉溪市财政局</w:t>
            </w:r>
          </w:p>
        </w:tc>
        <w:tc>
          <w:tcPr>
            <w:tcW w:w="1861"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市级主管部门</w:t>
            </w:r>
          </w:p>
        </w:tc>
        <w:tc>
          <w:tcPr>
            <w:tcW w:w="2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玉溪市乡村振兴局</w:t>
            </w:r>
          </w:p>
        </w:tc>
      </w:tr>
      <w:tr>
        <w:tblPrEx>
          <w:tblLayout w:type="fixed"/>
          <w:tblCellMar>
            <w:top w:w="15" w:type="dxa"/>
            <w:left w:w="15" w:type="dxa"/>
            <w:bottom w:w="15" w:type="dxa"/>
            <w:right w:w="15" w:type="dxa"/>
          </w:tblCellMar>
        </w:tblPrEx>
        <w:trPr>
          <w:gridAfter w:val="2"/>
          <w:wAfter w:w="1812" w:type="dxa"/>
          <w:trHeight w:val="675"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县级财政部门</w:t>
            </w:r>
          </w:p>
        </w:tc>
        <w:tc>
          <w:tcPr>
            <w:tcW w:w="2738"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澄江市财政局</w:t>
            </w:r>
          </w:p>
        </w:tc>
        <w:tc>
          <w:tcPr>
            <w:tcW w:w="1861"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县级主管部门</w:t>
            </w:r>
          </w:p>
        </w:tc>
        <w:tc>
          <w:tcPr>
            <w:tcW w:w="2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澄江市乡村振兴局</w:t>
            </w:r>
          </w:p>
        </w:tc>
      </w:tr>
      <w:tr>
        <w:tblPrEx>
          <w:tblLayout w:type="fixed"/>
          <w:tblCellMar>
            <w:top w:w="15" w:type="dxa"/>
            <w:left w:w="15" w:type="dxa"/>
            <w:bottom w:w="15" w:type="dxa"/>
            <w:right w:w="15" w:type="dxa"/>
          </w:tblCellMar>
        </w:tblPrEx>
        <w:trPr>
          <w:gridAfter w:val="2"/>
          <w:wAfter w:w="1812" w:type="dxa"/>
          <w:trHeight w:val="1232" w:hRule="atLeast"/>
        </w:trPr>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仿宋_GB2312" w:hAnsi="宋体" w:eastAsia="仿宋_GB2312" w:cs="仿宋_GB2312"/>
                <w:i w:val="0"/>
                <w:color w:val="000000"/>
                <w:kern w:val="0"/>
                <w:sz w:val="24"/>
                <w:szCs w:val="24"/>
                <w:u w:val="none"/>
                <w:lang w:val="en-US" w:eastAsia="zh-CN" w:bidi="ar"/>
              </w:rPr>
              <w:t>年度总体目标</w:t>
            </w:r>
          </w:p>
        </w:tc>
        <w:tc>
          <w:tcPr>
            <w:tcW w:w="818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sz w:val="20"/>
                <w:szCs w:val="20"/>
                <w:lang w:eastAsia="zh-CN"/>
              </w:rPr>
            </w:pPr>
            <w:r>
              <w:rPr>
                <w:rFonts w:hint="eastAsia" w:ascii="仿宋_GB2312" w:hAnsi="宋体" w:eastAsia="仿宋_GB2312" w:cs="仿宋_GB2312"/>
                <w:i w:val="0"/>
                <w:color w:val="000000"/>
                <w:kern w:val="0"/>
                <w:sz w:val="24"/>
                <w:szCs w:val="24"/>
                <w:u w:val="none"/>
                <w:lang w:val="en-US" w:eastAsia="zh-CN" w:bidi="ar"/>
              </w:rPr>
              <w:t>过渡期内在保持财政支持政策总体稳定的前提下，根据巩固拓展脱贫攻坚成果同乡村振兴有效衔接的需要和财力状况，合理安排财政投入规模，优化支出结构，调整支持重点。保留并调整优化原财政专项扶贫资金，聚焦支持脱贫地区巩固拓展脱贫攻坚成果和乡村振兴，适当向国家乡村振兴重点帮扶县倾斜，并逐步提高用于产业发展的比例。</w:t>
            </w:r>
          </w:p>
        </w:tc>
      </w:tr>
      <w:tr>
        <w:tblPrEx>
          <w:tblLayout w:type="fixed"/>
          <w:tblCellMar>
            <w:top w:w="15" w:type="dxa"/>
            <w:left w:w="15" w:type="dxa"/>
            <w:bottom w:w="15" w:type="dxa"/>
            <w:right w:w="15" w:type="dxa"/>
          </w:tblCellMar>
        </w:tblPrEx>
        <w:trPr>
          <w:gridAfter w:val="2"/>
          <w:wAfter w:w="1812" w:type="dxa"/>
          <w:trHeight w:val="711" w:hRule="atLeast"/>
        </w:trPr>
        <w:tc>
          <w:tcPr>
            <w:tcW w:w="8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仿宋_GB2312" w:hAnsi="宋体" w:eastAsia="仿宋_GB2312" w:cs="仿宋_GB2312"/>
                <w:i w:val="0"/>
                <w:color w:val="000000"/>
                <w:kern w:val="0"/>
                <w:sz w:val="24"/>
                <w:szCs w:val="24"/>
                <w:u w:val="none"/>
                <w:lang w:val="en-US" w:eastAsia="zh-CN" w:bidi="ar"/>
              </w:rPr>
              <w:t>绩效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目标                                                                                                                                                                                                                                                                                                                                                                                                                                                                                                                                                                                                                                                                                                                                                                                                                                                                                                                                                                                          </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仿宋_GB2312" w:hAnsi="宋体" w:eastAsia="仿宋_GB2312" w:cs="仿宋_GB2312"/>
                <w:i w:val="0"/>
                <w:color w:val="000000"/>
                <w:kern w:val="0"/>
                <w:sz w:val="24"/>
                <w:szCs w:val="24"/>
                <w:u w:val="none"/>
                <w:lang w:val="en-US" w:eastAsia="zh-CN" w:bidi="ar"/>
              </w:rPr>
              <w:t>一级指标</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仿宋_GB2312" w:hAnsi="宋体" w:eastAsia="仿宋_GB2312" w:cs="仿宋_GB2312"/>
                <w:i w:val="0"/>
                <w:color w:val="000000"/>
                <w:kern w:val="0"/>
                <w:sz w:val="24"/>
                <w:szCs w:val="24"/>
                <w:u w:val="none"/>
                <w:lang w:val="en-US" w:eastAsia="zh-CN" w:bidi="ar"/>
              </w:rPr>
              <w:t>二级指标</w:t>
            </w:r>
          </w:p>
        </w:tc>
        <w:tc>
          <w:tcPr>
            <w:tcW w:w="3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仿宋_GB2312" w:hAnsi="宋体" w:eastAsia="仿宋_GB2312" w:cs="仿宋_GB2312"/>
                <w:i w:val="0"/>
                <w:color w:val="000000"/>
                <w:kern w:val="0"/>
                <w:sz w:val="24"/>
                <w:szCs w:val="24"/>
                <w:u w:val="none"/>
                <w:lang w:val="en-US" w:eastAsia="zh-CN" w:bidi="ar"/>
              </w:rPr>
              <w:t>三级指标</w:t>
            </w:r>
          </w:p>
        </w:tc>
        <w:tc>
          <w:tcPr>
            <w:tcW w:w="2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仿宋_GB2312" w:hAnsi="宋体" w:eastAsia="仿宋_GB2312" w:cs="仿宋_GB2312"/>
                <w:i w:val="0"/>
                <w:color w:val="000000"/>
                <w:kern w:val="0"/>
                <w:sz w:val="24"/>
                <w:szCs w:val="24"/>
                <w:u w:val="none"/>
                <w:lang w:val="en-US" w:eastAsia="zh-CN" w:bidi="ar"/>
              </w:rPr>
              <w:t>指标内容</w:t>
            </w:r>
          </w:p>
        </w:tc>
      </w:tr>
      <w:tr>
        <w:tblPrEx>
          <w:tblLayout w:type="fixed"/>
          <w:tblCellMar>
            <w:top w:w="15" w:type="dxa"/>
            <w:left w:w="15" w:type="dxa"/>
            <w:bottom w:w="15" w:type="dxa"/>
            <w:right w:w="15" w:type="dxa"/>
          </w:tblCellMar>
        </w:tblPrEx>
        <w:trPr>
          <w:gridAfter w:val="2"/>
          <w:wAfter w:w="1812" w:type="dxa"/>
          <w:trHeight w:val="56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仿宋_GB2312" w:hAnsi="宋体" w:eastAsia="仿宋_GB2312" w:cs="仿宋_GB2312"/>
                <w:i w:val="0"/>
                <w:color w:val="000000"/>
                <w:kern w:val="0"/>
                <w:sz w:val="24"/>
                <w:szCs w:val="24"/>
                <w:u w:val="none"/>
                <w:lang w:val="en-US" w:eastAsia="zh-CN" w:bidi="ar"/>
              </w:rPr>
              <w:t>产出指标</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仿宋_GB2312" w:hAnsi="宋体" w:eastAsia="仿宋_GB2312" w:cs="仿宋_GB2312"/>
                <w:i w:val="0"/>
                <w:color w:val="000000"/>
                <w:kern w:val="0"/>
                <w:sz w:val="24"/>
                <w:szCs w:val="24"/>
                <w:u w:val="none"/>
                <w:lang w:val="en-US" w:eastAsia="zh-CN" w:bidi="ar"/>
              </w:rPr>
              <w:t>数量指标</w:t>
            </w:r>
          </w:p>
        </w:tc>
        <w:tc>
          <w:tcPr>
            <w:tcW w:w="3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lang w:eastAsia="zh-CN"/>
              </w:rPr>
            </w:pPr>
            <w:r>
              <w:rPr>
                <w:rFonts w:hint="eastAsia" w:ascii="仿宋_GB2312" w:hAnsi="宋体" w:eastAsia="仿宋_GB2312" w:cs="仿宋_GB2312"/>
                <w:i w:val="0"/>
                <w:color w:val="000000"/>
                <w:kern w:val="0"/>
                <w:sz w:val="24"/>
                <w:szCs w:val="24"/>
                <w:u w:val="none"/>
                <w:lang w:val="en-US" w:eastAsia="zh-CN" w:bidi="ar"/>
              </w:rPr>
              <w:t>产业资金投入率</w:t>
            </w:r>
          </w:p>
        </w:tc>
        <w:tc>
          <w:tcPr>
            <w:tcW w:w="2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color w:val="auto"/>
                <w:sz w:val="20"/>
                <w:szCs w:val="20"/>
                <w:highlight w:val="none"/>
                <w:lang w:val="en-US" w:eastAsia="zh-CN"/>
              </w:rPr>
            </w:pPr>
            <w:r>
              <w:rPr>
                <w:rFonts w:hint="eastAsia" w:ascii="仿宋_GB2312" w:hAnsi="宋体" w:eastAsia="仿宋_GB2312" w:cs="仿宋_GB2312"/>
                <w:i w:val="0"/>
                <w:color w:val="000000"/>
                <w:kern w:val="0"/>
                <w:sz w:val="24"/>
                <w:szCs w:val="24"/>
                <w:u w:val="none"/>
                <w:lang w:val="en-US" w:eastAsia="zh-CN" w:bidi="ar"/>
              </w:rPr>
              <w:t>&gt;=51%</w:t>
            </w:r>
          </w:p>
        </w:tc>
      </w:tr>
      <w:tr>
        <w:tblPrEx>
          <w:tblLayout w:type="fixed"/>
          <w:tblCellMar>
            <w:top w:w="15" w:type="dxa"/>
            <w:left w:w="15" w:type="dxa"/>
            <w:bottom w:w="15" w:type="dxa"/>
            <w:right w:w="15" w:type="dxa"/>
          </w:tblCellMar>
        </w:tblPrEx>
        <w:trPr>
          <w:trHeight w:val="898"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0"/>
                <w:szCs w:val="20"/>
              </w:rPr>
            </w:pPr>
          </w:p>
        </w:tc>
        <w:tc>
          <w:tcPr>
            <w:tcW w:w="3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lang w:eastAsia="zh-CN"/>
              </w:rPr>
            </w:pPr>
            <w:r>
              <w:rPr>
                <w:rFonts w:hint="eastAsia" w:ascii="仿宋_GB2312" w:hAnsi="宋体" w:eastAsia="仿宋_GB2312" w:cs="仿宋_GB2312"/>
                <w:i w:val="0"/>
                <w:color w:val="000000"/>
                <w:kern w:val="0"/>
                <w:sz w:val="24"/>
                <w:szCs w:val="24"/>
                <w:u w:val="none"/>
                <w:lang w:val="en-US" w:eastAsia="zh-CN" w:bidi="ar"/>
              </w:rPr>
              <w:t>资金支出率</w:t>
            </w:r>
          </w:p>
        </w:tc>
        <w:tc>
          <w:tcPr>
            <w:tcW w:w="2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color w:val="auto"/>
                <w:sz w:val="20"/>
                <w:szCs w:val="20"/>
                <w:highlight w:val="none"/>
                <w:lang w:val="en-US" w:eastAsia="zh-CN"/>
              </w:rPr>
            </w:pPr>
            <w:r>
              <w:rPr>
                <w:rFonts w:hint="eastAsia" w:ascii="仿宋_GB2312" w:hAnsi="宋体" w:eastAsia="仿宋_GB2312" w:cs="仿宋_GB2312"/>
                <w:i w:val="0"/>
                <w:color w:val="000000"/>
                <w:kern w:val="0"/>
                <w:sz w:val="24"/>
                <w:szCs w:val="24"/>
                <w:u w:val="none"/>
                <w:lang w:val="en-US" w:eastAsia="zh-CN" w:bidi="ar"/>
              </w:rPr>
              <w:t>=100%</w:t>
            </w:r>
          </w:p>
        </w:tc>
        <w:tc>
          <w:tcPr>
            <w:tcW w:w="792" w:type="dxa"/>
            <w:vMerge w:val="continue"/>
            <w:vAlign w:val="center"/>
          </w:tcPr>
          <w:p>
            <w:pPr>
              <w:jc w:val="center"/>
            </w:pPr>
          </w:p>
        </w:tc>
        <w:tc>
          <w:tcPr>
            <w:tcW w:w="1020" w:type="dxa"/>
            <w:vMerge w:val="continue"/>
            <w:vAlign w:val="center"/>
          </w:tcPr>
          <w:p>
            <w:pPr>
              <w:jc w:val="center"/>
            </w:pPr>
          </w:p>
        </w:tc>
      </w:tr>
      <w:tr>
        <w:tblPrEx>
          <w:tblLayout w:type="fixed"/>
          <w:tblCellMar>
            <w:top w:w="15" w:type="dxa"/>
            <w:left w:w="15" w:type="dxa"/>
            <w:bottom w:w="15" w:type="dxa"/>
            <w:right w:w="15" w:type="dxa"/>
          </w:tblCellMar>
        </w:tblPrEx>
        <w:trPr>
          <w:gridAfter w:val="2"/>
          <w:wAfter w:w="1812" w:type="dxa"/>
          <w:trHeight w:val="835"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0"/>
                <w:szCs w:val="20"/>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仿宋_GB2312" w:hAnsi="宋体" w:eastAsia="仿宋_GB2312" w:cs="仿宋_GB2312"/>
                <w:i w:val="0"/>
                <w:color w:val="000000"/>
                <w:kern w:val="0"/>
                <w:sz w:val="24"/>
                <w:szCs w:val="24"/>
                <w:u w:val="none"/>
                <w:lang w:val="en-US" w:eastAsia="zh-CN" w:bidi="ar"/>
              </w:rPr>
              <w:t>质量指标</w:t>
            </w:r>
          </w:p>
        </w:tc>
        <w:tc>
          <w:tcPr>
            <w:tcW w:w="3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lang w:eastAsia="zh-CN"/>
              </w:rPr>
            </w:pPr>
            <w:r>
              <w:rPr>
                <w:rFonts w:hint="eastAsia" w:ascii="仿宋_GB2312" w:hAnsi="宋体" w:eastAsia="仿宋_GB2312" w:cs="仿宋_GB2312"/>
                <w:i w:val="0"/>
                <w:color w:val="000000"/>
                <w:kern w:val="0"/>
                <w:sz w:val="24"/>
                <w:szCs w:val="24"/>
                <w:u w:val="none"/>
                <w:lang w:val="en-US" w:eastAsia="zh-CN" w:bidi="ar"/>
              </w:rPr>
              <w:t>项目资金公告公示率</w:t>
            </w:r>
          </w:p>
        </w:tc>
        <w:tc>
          <w:tcPr>
            <w:tcW w:w="2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color w:val="auto"/>
                <w:sz w:val="20"/>
                <w:szCs w:val="20"/>
                <w:highlight w:val="none"/>
                <w:lang w:val="en-US" w:eastAsia="zh-CN"/>
              </w:rPr>
            </w:pPr>
            <w:r>
              <w:rPr>
                <w:rFonts w:hint="eastAsia" w:ascii="仿宋_GB2312" w:hAnsi="宋体" w:eastAsia="仿宋_GB2312" w:cs="仿宋_GB2312"/>
                <w:i w:val="0"/>
                <w:color w:val="000000"/>
                <w:kern w:val="0"/>
                <w:sz w:val="24"/>
                <w:szCs w:val="24"/>
                <w:u w:val="none"/>
                <w:lang w:val="en-US" w:eastAsia="zh-CN" w:bidi="ar"/>
              </w:rPr>
              <w:t>=100%</w:t>
            </w:r>
          </w:p>
        </w:tc>
      </w:tr>
      <w:tr>
        <w:tblPrEx>
          <w:tblLayout w:type="fixed"/>
          <w:tblCellMar>
            <w:top w:w="15" w:type="dxa"/>
            <w:left w:w="15" w:type="dxa"/>
            <w:bottom w:w="15" w:type="dxa"/>
            <w:right w:w="15" w:type="dxa"/>
          </w:tblCellMar>
        </w:tblPrEx>
        <w:trPr>
          <w:gridAfter w:val="2"/>
          <w:wAfter w:w="1812" w:type="dxa"/>
          <w:trHeight w:val="661"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0"/>
                <w:szCs w:val="20"/>
              </w:rPr>
            </w:pPr>
          </w:p>
        </w:tc>
        <w:tc>
          <w:tcPr>
            <w:tcW w:w="3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lang w:eastAsia="zh-CN"/>
              </w:rPr>
            </w:pPr>
            <w:r>
              <w:rPr>
                <w:rFonts w:hint="eastAsia" w:ascii="仿宋_GB2312" w:hAnsi="宋体" w:eastAsia="仿宋_GB2312" w:cs="仿宋_GB2312"/>
                <w:i w:val="0"/>
                <w:color w:val="000000"/>
                <w:kern w:val="0"/>
                <w:sz w:val="24"/>
                <w:szCs w:val="24"/>
                <w:u w:val="none"/>
                <w:lang w:val="en-US" w:eastAsia="zh-CN" w:bidi="ar"/>
              </w:rPr>
              <w:t>完工项目验收合格率</w:t>
            </w:r>
          </w:p>
        </w:tc>
        <w:tc>
          <w:tcPr>
            <w:tcW w:w="2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color w:val="auto"/>
                <w:sz w:val="20"/>
                <w:szCs w:val="20"/>
                <w:highlight w:val="none"/>
                <w:lang w:val="en-US" w:eastAsia="zh-CN"/>
              </w:rPr>
            </w:pPr>
            <w:r>
              <w:rPr>
                <w:rFonts w:hint="eastAsia" w:ascii="仿宋_GB2312" w:hAnsi="宋体" w:eastAsia="仿宋_GB2312" w:cs="仿宋_GB2312"/>
                <w:i w:val="0"/>
                <w:color w:val="000000"/>
                <w:kern w:val="0"/>
                <w:sz w:val="24"/>
                <w:szCs w:val="24"/>
                <w:u w:val="none"/>
                <w:lang w:val="en-US" w:eastAsia="zh-CN" w:bidi="ar"/>
              </w:rPr>
              <w:t>=100%</w:t>
            </w:r>
          </w:p>
        </w:tc>
      </w:tr>
      <w:tr>
        <w:tblPrEx>
          <w:tblLayout w:type="fixed"/>
          <w:tblCellMar>
            <w:top w:w="15" w:type="dxa"/>
            <w:left w:w="15" w:type="dxa"/>
            <w:bottom w:w="15" w:type="dxa"/>
            <w:right w:w="15" w:type="dxa"/>
          </w:tblCellMar>
        </w:tblPrEx>
        <w:trPr>
          <w:gridAfter w:val="2"/>
          <w:wAfter w:w="1812" w:type="dxa"/>
          <w:trHeight w:val="683"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0"/>
                <w:szCs w:val="20"/>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仿宋_GB2312" w:hAnsi="宋体" w:eastAsia="仿宋_GB2312" w:cs="仿宋_GB2312"/>
                <w:i w:val="0"/>
                <w:color w:val="000000"/>
                <w:kern w:val="0"/>
                <w:sz w:val="24"/>
                <w:szCs w:val="24"/>
                <w:u w:val="none"/>
                <w:lang w:val="en-US" w:eastAsia="zh-CN" w:bidi="ar"/>
              </w:rPr>
              <w:t>时效指标</w:t>
            </w:r>
          </w:p>
        </w:tc>
        <w:tc>
          <w:tcPr>
            <w:tcW w:w="3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lang w:eastAsia="zh-CN"/>
              </w:rPr>
            </w:pPr>
            <w:r>
              <w:rPr>
                <w:rFonts w:hint="eastAsia" w:ascii="仿宋_GB2312" w:hAnsi="宋体" w:eastAsia="仿宋_GB2312" w:cs="仿宋_GB2312"/>
                <w:i w:val="0"/>
                <w:color w:val="000000"/>
                <w:kern w:val="0"/>
                <w:sz w:val="24"/>
                <w:szCs w:val="24"/>
                <w:u w:val="none"/>
                <w:lang w:val="en-US" w:eastAsia="zh-CN" w:bidi="ar"/>
              </w:rPr>
              <w:t>项目开工率</w:t>
            </w:r>
          </w:p>
        </w:tc>
        <w:tc>
          <w:tcPr>
            <w:tcW w:w="2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color w:val="auto"/>
                <w:sz w:val="20"/>
                <w:szCs w:val="20"/>
                <w:highlight w:val="none"/>
                <w:lang w:val="en-US" w:eastAsia="zh-CN"/>
              </w:rPr>
            </w:pPr>
            <w:r>
              <w:rPr>
                <w:rFonts w:hint="eastAsia" w:ascii="仿宋_GB2312" w:hAnsi="宋体" w:eastAsia="仿宋_GB2312" w:cs="仿宋_GB2312"/>
                <w:i w:val="0"/>
                <w:color w:val="000000"/>
                <w:kern w:val="0"/>
                <w:sz w:val="24"/>
                <w:szCs w:val="24"/>
                <w:u w:val="none"/>
                <w:lang w:val="en-US" w:eastAsia="zh-CN" w:bidi="ar"/>
              </w:rPr>
              <w:t>=100%</w:t>
            </w:r>
          </w:p>
        </w:tc>
      </w:tr>
      <w:tr>
        <w:tblPrEx>
          <w:tblLayout w:type="fixed"/>
          <w:tblCellMar>
            <w:top w:w="15" w:type="dxa"/>
            <w:left w:w="15" w:type="dxa"/>
            <w:bottom w:w="15" w:type="dxa"/>
            <w:right w:w="15" w:type="dxa"/>
          </w:tblCellMar>
        </w:tblPrEx>
        <w:trPr>
          <w:gridAfter w:val="2"/>
          <w:wAfter w:w="1812" w:type="dxa"/>
          <w:trHeight w:val="9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0"/>
                <w:szCs w:val="20"/>
              </w:rPr>
            </w:pPr>
          </w:p>
        </w:tc>
        <w:tc>
          <w:tcPr>
            <w:tcW w:w="3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lang w:eastAsia="zh-CN"/>
              </w:rPr>
            </w:pPr>
            <w:r>
              <w:rPr>
                <w:rFonts w:hint="eastAsia" w:ascii="仿宋_GB2312" w:hAnsi="宋体" w:eastAsia="仿宋_GB2312" w:cs="仿宋_GB2312"/>
                <w:i w:val="0"/>
                <w:color w:val="000000"/>
                <w:kern w:val="0"/>
                <w:sz w:val="24"/>
                <w:szCs w:val="24"/>
                <w:u w:val="none"/>
                <w:lang w:val="en-US" w:eastAsia="zh-CN" w:bidi="ar"/>
              </w:rPr>
              <w:t>项目完工率</w:t>
            </w:r>
          </w:p>
        </w:tc>
        <w:tc>
          <w:tcPr>
            <w:tcW w:w="2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color w:val="auto"/>
                <w:sz w:val="20"/>
                <w:szCs w:val="20"/>
                <w:highlight w:val="none"/>
                <w:lang w:val="en-US" w:eastAsia="zh-CN"/>
              </w:rPr>
            </w:pPr>
            <w:r>
              <w:rPr>
                <w:rFonts w:hint="eastAsia" w:ascii="仿宋_GB2312" w:hAnsi="宋体" w:eastAsia="仿宋_GB2312" w:cs="仿宋_GB2312"/>
                <w:i w:val="0"/>
                <w:color w:val="000000"/>
                <w:kern w:val="0"/>
                <w:sz w:val="24"/>
                <w:szCs w:val="24"/>
                <w:u w:val="none"/>
                <w:lang w:val="en-US" w:eastAsia="zh-CN" w:bidi="ar"/>
              </w:rPr>
              <w:t>=100%</w:t>
            </w:r>
          </w:p>
        </w:tc>
      </w:tr>
      <w:tr>
        <w:tblPrEx>
          <w:tblLayout w:type="fixed"/>
          <w:tblCellMar>
            <w:top w:w="15" w:type="dxa"/>
            <w:left w:w="15" w:type="dxa"/>
            <w:bottom w:w="15" w:type="dxa"/>
            <w:right w:w="15" w:type="dxa"/>
          </w:tblCellMar>
        </w:tblPrEx>
        <w:trPr>
          <w:gridAfter w:val="2"/>
          <w:wAfter w:w="1812" w:type="dxa"/>
          <w:trHeight w:val="59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仿宋_GB2312" w:hAnsi="宋体" w:eastAsia="仿宋_GB2312" w:cs="仿宋_GB2312"/>
                <w:i w:val="0"/>
                <w:color w:val="000000"/>
                <w:kern w:val="0"/>
                <w:sz w:val="24"/>
                <w:szCs w:val="24"/>
                <w:u w:val="none"/>
                <w:lang w:val="en-US" w:eastAsia="zh-CN" w:bidi="ar"/>
              </w:rPr>
              <w:t>效益指标</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仿宋_GB2312" w:hAnsi="宋体" w:eastAsia="仿宋_GB2312" w:cs="仿宋_GB2312"/>
                <w:i w:val="0"/>
                <w:color w:val="000000"/>
                <w:kern w:val="0"/>
                <w:sz w:val="24"/>
                <w:szCs w:val="24"/>
                <w:u w:val="none"/>
                <w:lang w:val="en-US" w:eastAsia="zh-CN" w:bidi="ar"/>
              </w:rPr>
              <w:t>经济效益指标</w:t>
            </w:r>
          </w:p>
        </w:tc>
        <w:tc>
          <w:tcPr>
            <w:tcW w:w="3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lang w:eastAsia="zh-CN"/>
              </w:rPr>
            </w:pPr>
            <w:r>
              <w:rPr>
                <w:rFonts w:hint="eastAsia" w:ascii="仿宋_GB2312" w:hAnsi="宋体" w:eastAsia="仿宋_GB2312" w:cs="仿宋_GB2312"/>
                <w:i w:val="0"/>
                <w:color w:val="000000"/>
                <w:kern w:val="0"/>
                <w:sz w:val="24"/>
                <w:szCs w:val="24"/>
                <w:u w:val="none"/>
                <w:lang w:val="en-US" w:eastAsia="zh-CN" w:bidi="ar"/>
              </w:rPr>
              <w:t>农村居民人均可支配收入增幅</w:t>
            </w:r>
          </w:p>
        </w:tc>
        <w:tc>
          <w:tcPr>
            <w:tcW w:w="2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color w:val="auto"/>
                <w:sz w:val="20"/>
                <w:szCs w:val="20"/>
                <w:highlight w:val="none"/>
                <w:lang w:val="en-US" w:eastAsia="zh-CN"/>
              </w:rPr>
            </w:pPr>
            <w:r>
              <w:rPr>
                <w:rFonts w:hint="eastAsia" w:ascii="仿宋_GB2312" w:hAnsi="宋体" w:eastAsia="仿宋_GB2312" w:cs="仿宋_GB2312"/>
                <w:i w:val="0"/>
                <w:color w:val="000000"/>
                <w:kern w:val="0"/>
                <w:sz w:val="24"/>
                <w:szCs w:val="24"/>
                <w:u w:val="none"/>
                <w:lang w:val="en-US" w:eastAsia="zh-CN" w:bidi="ar"/>
              </w:rPr>
              <w:t>&gt;=0%</w:t>
            </w:r>
          </w:p>
        </w:tc>
      </w:tr>
      <w:tr>
        <w:tblPrEx>
          <w:tblLayout w:type="fixed"/>
          <w:tblCellMar>
            <w:top w:w="15" w:type="dxa"/>
            <w:left w:w="15" w:type="dxa"/>
            <w:bottom w:w="15" w:type="dxa"/>
            <w:right w:w="15" w:type="dxa"/>
          </w:tblCellMar>
        </w:tblPrEx>
        <w:trPr>
          <w:gridAfter w:val="2"/>
          <w:wAfter w:w="1812" w:type="dxa"/>
          <w:trHeight w:val="1166"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0"/>
                <w:szCs w:val="20"/>
              </w:rPr>
            </w:pP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仿宋_GB2312" w:hAnsi="宋体" w:eastAsia="仿宋_GB2312" w:cs="仿宋_GB2312"/>
                <w:i w:val="0"/>
                <w:color w:val="000000"/>
                <w:kern w:val="0"/>
                <w:sz w:val="24"/>
                <w:szCs w:val="24"/>
                <w:u w:val="none"/>
                <w:lang w:val="en-US" w:eastAsia="zh-CN" w:bidi="ar"/>
              </w:rPr>
              <w:t>社会效益指标</w:t>
            </w:r>
          </w:p>
        </w:tc>
        <w:tc>
          <w:tcPr>
            <w:tcW w:w="3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lang w:eastAsia="zh-CN"/>
              </w:rPr>
            </w:pPr>
            <w:r>
              <w:rPr>
                <w:rFonts w:hint="eastAsia" w:ascii="仿宋_GB2312" w:hAnsi="宋体" w:eastAsia="仿宋_GB2312" w:cs="仿宋_GB2312"/>
                <w:i w:val="0"/>
                <w:color w:val="000000"/>
                <w:kern w:val="0"/>
                <w:sz w:val="24"/>
                <w:szCs w:val="24"/>
                <w:u w:val="none"/>
                <w:lang w:val="en-US" w:eastAsia="zh-CN" w:bidi="ar"/>
              </w:rPr>
              <w:t>返贫、致贫风险人口监测覆盖率</w:t>
            </w:r>
          </w:p>
        </w:tc>
        <w:tc>
          <w:tcPr>
            <w:tcW w:w="2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color w:val="auto"/>
                <w:sz w:val="20"/>
                <w:szCs w:val="20"/>
                <w:highlight w:val="none"/>
                <w:lang w:val="en-US" w:eastAsia="zh-CN"/>
              </w:rPr>
            </w:pPr>
            <w:r>
              <w:rPr>
                <w:rFonts w:hint="eastAsia" w:ascii="仿宋_GB2312" w:hAnsi="宋体" w:eastAsia="仿宋_GB2312" w:cs="仿宋_GB2312"/>
                <w:i w:val="0"/>
                <w:color w:val="000000"/>
                <w:kern w:val="0"/>
                <w:sz w:val="24"/>
                <w:szCs w:val="24"/>
                <w:u w:val="none"/>
                <w:lang w:val="en-US" w:eastAsia="zh-CN" w:bidi="ar"/>
              </w:rPr>
              <w:t>=100%</w:t>
            </w:r>
          </w:p>
        </w:tc>
      </w:tr>
    </w:tbl>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pStyle w:val="2"/>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320" w:leftChars="100" w:right="320" w:rightChars="100" w:firstLine="0" w:firstLineChars="0"/>
        <w:jc w:val="both"/>
        <w:textAlignment w:val="auto"/>
        <w:outlineLvl w:val="9"/>
        <w:rPr>
          <w:rFonts w:hint="default" w:ascii="Times New Roman" w:hAnsi="Times New Roman" w:eastAsia="方正仿宋_GBK" w:cs="Times New Roman"/>
          <w:color w:val="282828"/>
          <w:sz w:val="28"/>
          <w:szCs w:val="28"/>
          <w:lang w:eastAsia="zh-CN"/>
        </w:rPr>
      </w:pPr>
      <w:r>
        <w:rPr>
          <w:rFonts w:hint="default" w:ascii="Times New Roman" w:hAnsi="Times New Roman" w:eastAsia="方正仿宋_GBK" w:cs="Times New Roman"/>
          <w:sz w:val="28"/>
          <w:szCs w:val="28"/>
        </w:rPr>
        <w:pict>
          <v:line id="直接连接符 2" o:spid="_x0000_s1029" o:spt="20" style="position:absolute;left:0pt;margin-left:-1.4pt;margin-top:6.5pt;height:1pt;width:439.35pt;z-index:251663360;mso-width-relative:page;mso-height-relative:page;" filled="f" stroked="t" coordsize="21600,21600" o:gfxdata="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VE4dzWAAAACAEAAA8A&#10;AAAAAAAAAQAgAAAAIgAAAGRycy9kb3ducmV2LnhtbFBLAQIUABQAAAAIAIdO4kCz0HcW4AEAAJsD&#10;AAAOAAAAAAAAAAEAIAAAACUBAABkcnMvZTJvRG9jLnhtbFBLBQYAAAAABgAGAFkBAAB3BQAAAAA=&#10;">
            <v:path arrowok="t"/>
            <v:fill on="f" focussize="0,0"/>
            <v:stroke weight="0.992047244094488pt" joinstyle="round"/>
            <v:imagedata o:title=""/>
            <o:lock v:ext="edit" aspectratio="f"/>
          </v:line>
        </w:pict>
      </w:r>
      <w:r>
        <w:rPr>
          <w:rFonts w:hint="default" w:ascii="Times New Roman" w:hAnsi="Times New Roman" w:eastAsia="方正仿宋_GBK" w:cs="Times New Roman"/>
          <w:color w:val="282828"/>
          <w:sz w:val="28"/>
          <w:szCs w:val="28"/>
          <w:lang w:eastAsia="zh-CN"/>
        </w:rPr>
        <w:t>抄送：本局预算股</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1"/>
        </w:pBdr>
        <w:kinsoku/>
        <w:wordWrap/>
        <w:overflowPunct/>
        <w:topLinePunct w:val="0"/>
        <w:autoSpaceDE/>
        <w:autoSpaceDN/>
        <w:bidi w:val="0"/>
        <w:adjustRightInd/>
        <w:snapToGrid/>
        <w:spacing w:line="590" w:lineRule="exact"/>
        <w:ind w:left="320" w:leftChars="100" w:right="320" w:rightChars="10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pict>
          <v:line id="直接连接符 3" o:spid="_x0000_s1030" o:spt="20" style="position:absolute;left:0pt;margin-left:-1.4pt;margin-top:29.3pt;height:1pt;width:439.35pt;z-index:251661312;mso-width-relative:page;mso-height-relative:page;" filled="f" stroked="t" coordsize="21600,21600" o:gfxdata="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iB5xfWAAAACAEAAA8A&#10;AAAAAAAAAQAgAAAAIgAAAGRycy9kb3ducmV2LnhtbFBLAQIUABQAAAAIAIdO4kCVaF044AEAAJsD&#10;AAAOAAAAAAAAAAEAIAAAACUBAABkcnMvZTJvRG9jLnhtbFBLBQYAAAAABgAGAFkBAAB3BQAAAAA=&#10;">
            <v:path arrowok="t"/>
            <v:fill on="f" focussize="0,0"/>
            <v:stroke weight="0.992047244094488pt" joinstyle="round"/>
            <v:imagedata o:title=""/>
            <o:lock v:ext="edit" aspectratio="f"/>
          </v:line>
        </w:pict>
      </w:r>
      <w:r>
        <w:rPr>
          <w:rFonts w:hint="default" w:ascii="Times New Roman" w:hAnsi="Times New Roman" w:eastAsia="方正仿宋_GBK" w:cs="Times New Roman"/>
          <w:sz w:val="28"/>
          <w:szCs w:val="28"/>
        </w:rPr>
        <w:pict>
          <v:line id="直接连接符 4" o:spid="_x0000_s1031" o:spt="20" style="position:absolute;left:0pt;margin-left:-1.45pt;margin-top:2.65pt;height:0.7pt;width:439.35pt;z-index:251662336;mso-width-relative:page;mso-height-relative:page;" filled="f" stroked="t" coordsize="21600,21600" o:gfxdata="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PNcbXAAAABgEAAA8A&#10;AAAAAAAAAQAgAAAAIgAAAGRycy9kb3ducmV2LnhtbFBLAQIUABQAAAAIAIdO4kBQ4D8m3wEAAJkD&#10;AAAOAAAAAAAAAAEAIAAAACYBAABkcnMvZTJvRG9jLnhtbFBLBQYAAAAABgAGAFkBAAB3BQAAAAA=&#10;">
            <v:path arrowok="t"/>
            <v:fill on="f" focussize="0,0"/>
            <v:stroke weight="0.708582677165354pt" joinstyle="round"/>
            <v:imagedata o:title=""/>
            <o:lock v:ext="edit" aspectratio="f"/>
          </v:line>
        </w:pict>
      </w:r>
      <w:r>
        <w:rPr>
          <w:rFonts w:hint="default" w:ascii="Times New Roman" w:hAnsi="Times New Roman" w:eastAsia="方正仿宋_GBK" w:cs="Times New Roman"/>
          <w:sz w:val="28"/>
          <w:szCs w:val="28"/>
        </w:rPr>
        <w:t>澄江</w:t>
      </w:r>
      <w:r>
        <w:rPr>
          <w:rFonts w:hint="default" w:ascii="Times New Roman" w:hAnsi="Times New Roman" w:eastAsia="方正仿宋_GBK" w:cs="Times New Roman"/>
          <w:sz w:val="28"/>
          <w:szCs w:val="28"/>
          <w:lang w:eastAsia="zh-CN"/>
        </w:rPr>
        <w:t>市</w:t>
      </w:r>
      <w:r>
        <w:rPr>
          <w:rFonts w:hint="default" w:ascii="Times New Roman" w:hAnsi="Times New Roman" w:eastAsia="方正仿宋_GBK" w:cs="Times New Roman"/>
          <w:sz w:val="28"/>
          <w:szCs w:val="28"/>
        </w:rPr>
        <w:t xml:space="preserve">财政局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2022</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24</w:t>
      </w:r>
      <w:r>
        <w:rPr>
          <w:rFonts w:hint="default" w:ascii="Times New Roman" w:hAnsi="Times New Roman" w:eastAsia="方正仿宋_GBK" w:cs="Times New Roman"/>
          <w:sz w:val="28"/>
          <w:szCs w:val="28"/>
        </w:rPr>
        <w:t>日印发</w:t>
      </w:r>
    </w:p>
    <w:p/>
    <w:sectPr>
      <w:pgSz w:w="11906" w:h="16838"/>
      <w:pgMar w:top="1440" w:right="1803" w:bottom="1440" w:left="1803" w:header="851" w:footer="992" w:gutter="0"/>
      <w:pgNumType w:fmt="decimal"/>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美黑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华文楷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24C7B"/>
    <w:rsid w:val="77E24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楷体"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Autospacing="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2022-07-06T08:29:00Z</dcterms:created>
  <dc:creator>Dell</dc:creator>
  <cp:lastModifiedBy>Dell</cp:lastModifiedBy>
  <dcterms:modified xsi:type="dcterms:W3CDTF">2022-12-08T07:35:36Z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1356DF890AB84E31902227254C4C1FA1</vt:lpwstr>
  </property>
</Properties>
</file>