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2"/>
          <w:w w:val="90"/>
          <w:sz w:val="32"/>
          <w:szCs w:val="3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华财农〔2022〕50号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2"/>
      <w:bookmarkStart w:id="1" w:name="OLE_LINK7"/>
      <w:bookmarkStart w:id="2" w:name="OLE_LINK1"/>
      <w:bookmarkStart w:id="3" w:name="OLE_LINK6"/>
      <w:bookmarkStart w:id="4" w:name="OLE_LINK4"/>
      <w:bookmarkStart w:id="5" w:name="OLE_LINK5"/>
    </w:p>
    <w:bookmarkEnd w:id="0"/>
    <w:bookmarkEnd w:id="1"/>
    <w:bookmarkEnd w:id="2"/>
    <w:bookmarkEnd w:id="3"/>
    <w:p>
      <w:pPr>
        <w:spacing w:line="590" w:lineRule="exact"/>
        <w:jc w:val="center"/>
        <w:outlineLvl w:val="0"/>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w:t>
      </w:r>
      <w:r>
        <w:rPr>
          <w:rFonts w:hint="default" w:ascii="Times New Roman" w:hAnsi="Times New Roman" w:eastAsia="方正小标宋_GBK" w:cs="Times New Roman"/>
          <w:sz w:val="44"/>
          <w:szCs w:val="44"/>
          <w:lang w:eastAsia="zh-CN"/>
        </w:rPr>
        <w:t>拨付202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eastAsia="zh-CN"/>
        </w:rPr>
        <w:t>年第一季度</w:t>
      </w:r>
    </w:p>
    <w:p>
      <w:pPr>
        <w:spacing w:line="590" w:lineRule="exact"/>
        <w:jc w:val="center"/>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z w:val="44"/>
          <w:szCs w:val="44"/>
          <w:lang w:val="en-US" w:eastAsia="zh-CN"/>
        </w:rPr>
        <w:t>市级财政衔接推进乡村振兴补助资金</w:t>
      </w:r>
      <w:r>
        <w:rPr>
          <w:rFonts w:hint="default" w:ascii="Times New Roman" w:hAnsi="Times New Roman" w:eastAsia="方正小标宋_GBK" w:cs="Times New Roman"/>
          <w:sz w:val="44"/>
          <w:szCs w:val="44"/>
        </w:rPr>
        <w:t>的通知</w:t>
      </w:r>
    </w:p>
    <w:bookmarkEnd w:id="4"/>
    <w:bookmarkEnd w:id="5"/>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青龙镇政府、宁州街道办事处机关、华溪镇人民政府、盘溪镇政府、华宁县乡村振兴局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《玉溪市财政局关于下达拨付202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年第一季度</w:t>
      </w:r>
      <w:r>
        <w:rPr>
          <w:rFonts w:hint="default" w:ascii="Times New Roman" w:hAnsi="Times New Roman" w:eastAsia="方正仿宋_GBK" w:cs="Times New Roman"/>
          <w:sz w:val="32"/>
          <w:szCs w:val="32"/>
          <w:lang w:val="en-US" w:eastAsia="zh-CN" w:bidi="ar"/>
        </w:rPr>
        <w:t>市级财政衔接推进乡村振兴补助资金</w:t>
      </w:r>
      <w:r>
        <w:rPr>
          <w:rFonts w:hint="default" w:ascii="Times New Roman" w:hAnsi="Times New Roman" w:eastAsia="方正仿宋_GBK" w:cs="Times New Roman"/>
          <w:sz w:val="32"/>
          <w:szCs w:val="32"/>
          <w:lang w:eastAsia="zh-CN" w:bidi="ar"/>
        </w:rPr>
        <w:t>的通知》（玉财农〔</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24号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《华宁县人民政府关于</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年第一季度</w:t>
      </w:r>
      <w:r>
        <w:rPr>
          <w:rFonts w:hint="default" w:ascii="Times New Roman" w:hAnsi="Times New Roman" w:eastAsia="方正仿宋_GBK" w:cs="Times New Roman"/>
          <w:sz w:val="32"/>
          <w:szCs w:val="32"/>
          <w:lang w:val="en-US" w:eastAsia="zh-CN" w:bidi="ar"/>
        </w:rPr>
        <w:t>市级财政衔接推进乡村振兴补助资金和2021年衔接结余资金项目分配及</w:t>
      </w:r>
      <w:r>
        <w:rPr>
          <w:rFonts w:hint="default" w:ascii="Times New Roman" w:hAnsi="Times New Roman" w:eastAsia="方正仿宋_GBK" w:cs="Times New Roman"/>
          <w:sz w:val="32"/>
          <w:szCs w:val="32"/>
          <w:lang w:eastAsia="zh-CN" w:bidi="ar"/>
        </w:rPr>
        <w:t>项目实施方案</w:t>
      </w:r>
      <w:r>
        <w:rPr>
          <w:rFonts w:hint="default" w:ascii="Times New Roman" w:hAnsi="Times New Roman" w:eastAsia="方正仿宋_GBK" w:cs="Times New Roman"/>
          <w:sz w:val="32"/>
          <w:szCs w:val="32"/>
          <w:lang w:bidi="ar"/>
        </w:rPr>
        <w:t>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24</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年第一季度</w:t>
      </w:r>
      <w:r>
        <w:rPr>
          <w:rFonts w:hint="default" w:ascii="Times New Roman" w:hAnsi="Times New Roman" w:eastAsia="方正仿宋_GBK" w:cs="Times New Roman"/>
          <w:sz w:val="32"/>
          <w:szCs w:val="32"/>
          <w:lang w:val="en-US" w:eastAsia="zh-CN" w:bidi="ar"/>
        </w:rPr>
        <w:t>市级财政衔接推进乡村振兴补助资金683040</w:t>
      </w:r>
      <w:r>
        <w:rPr>
          <w:rFonts w:hint="default" w:ascii="Times New Roman" w:hAnsi="Times New Roman" w:eastAsia="方正仿宋_GBK" w:cs="Times New Roman"/>
          <w:sz w:val="32"/>
          <w:szCs w:val="32"/>
          <w:lang w:bidi="ar"/>
        </w:rPr>
        <w:t>元（具体预算单位、金额、科目名称、预算项目详见附表）。</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b/>
          <w:bCs/>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ind w:left="1285" w:hanging="1285" w:hangingChars="4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年第一季度</w:t>
      </w:r>
      <w:r>
        <w:rPr>
          <w:rFonts w:hint="default" w:ascii="Times New Roman" w:hAnsi="Times New Roman" w:eastAsia="方正仿宋_GBK" w:cs="Times New Roman"/>
          <w:sz w:val="32"/>
          <w:szCs w:val="32"/>
          <w:lang w:val="en-US" w:eastAsia="zh-CN" w:bidi="ar"/>
        </w:rPr>
        <w:t>市级财政衔接推进乡村振兴补助资金预算表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年第一季度</w:t>
      </w:r>
      <w:r>
        <w:rPr>
          <w:rFonts w:hint="default" w:ascii="Times New Roman" w:hAnsi="Times New Roman" w:eastAsia="方正仿宋_GBK" w:cs="Times New Roman"/>
          <w:sz w:val="32"/>
          <w:szCs w:val="32"/>
          <w:lang w:val="en-US" w:eastAsia="zh-CN" w:bidi="ar"/>
        </w:rPr>
        <w:t>市级财政衔接推进乡村振兴补助资金绩效目标表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hint="default" w:ascii="Times New Roman" w:hAnsi="Times New Roman" w:eastAsia="方正仿宋_GBK" w:cs="Times New Roman"/>
          <w:color w:val="FF0000"/>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63.4pt;margin-top:-41.1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rPr>
        <w:t>20</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eastAsia="zh-CN"/>
        </w:rPr>
        <w:t>202</w:t>
      </w:r>
      <w:r>
        <w:rPr>
          <w:rFonts w:hint="default" w:ascii="Times New Roman" w:hAnsi="Times New Roman" w:eastAsia="方正小标宋_GBK" w:cs="Times New Roman"/>
          <w:sz w:val="40"/>
          <w:szCs w:val="40"/>
          <w:lang w:val="en-US" w:eastAsia="zh-CN"/>
        </w:rPr>
        <w:t>2</w:t>
      </w:r>
      <w:r>
        <w:rPr>
          <w:rFonts w:hint="default" w:ascii="Times New Roman" w:hAnsi="Times New Roman" w:eastAsia="方正小标宋_GBK" w:cs="Times New Roman"/>
          <w:sz w:val="40"/>
          <w:szCs w:val="40"/>
          <w:lang w:eastAsia="zh-CN"/>
        </w:rPr>
        <w:t>年第一季度</w:t>
      </w:r>
      <w:r>
        <w:rPr>
          <w:rFonts w:hint="default" w:ascii="Times New Roman" w:hAnsi="Times New Roman" w:eastAsia="方正小标宋_GBK" w:cs="Times New Roman"/>
          <w:sz w:val="40"/>
          <w:szCs w:val="40"/>
          <w:lang w:val="en-US" w:eastAsia="zh-CN"/>
        </w:rPr>
        <w:t>市级财政衔接推进乡村振兴补助资金预算</w:t>
      </w:r>
      <w:r>
        <w:rPr>
          <w:rFonts w:hint="default" w:ascii="Times New Roman" w:hAnsi="Times New Roman" w:eastAsia="方正小标宋_GBK" w:cs="Times New Roman"/>
          <w:sz w:val="40"/>
          <w:szCs w:val="40"/>
        </w:rPr>
        <w:t>表</w:t>
      </w:r>
    </w:p>
    <w:tbl>
      <w:tblPr>
        <w:tblStyle w:val="5"/>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033"/>
        <w:gridCol w:w="1479"/>
        <w:gridCol w:w="1941"/>
        <w:gridCol w:w="1695"/>
        <w:gridCol w:w="1706"/>
        <w:gridCol w:w="1954"/>
        <w:gridCol w:w="1515"/>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0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2033"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47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941"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69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170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954"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lang w:val="en-US" w:eastAsia="zh-CN"/>
              </w:rPr>
            </w:pPr>
            <w:r>
              <w:rPr>
                <w:rFonts w:hint="default" w:ascii="Times New Roman" w:hAnsi="Times New Roman" w:eastAsia="方正仿宋_GBK" w:cs="Times New Roman"/>
                <w:b/>
                <w:color w:val="000000"/>
                <w:sz w:val="22"/>
                <w:lang w:val="en-US" w:eastAsia="zh-CN"/>
              </w:rPr>
              <w:t>指标来源</w:t>
            </w:r>
          </w:p>
        </w:tc>
        <w:tc>
          <w:tcPr>
            <w:tcW w:w="151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50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40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571001.青龙镇政府</w:t>
            </w:r>
          </w:p>
        </w:tc>
        <w:tc>
          <w:tcPr>
            <w:tcW w:w="2033"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2130505.生产发展</w:t>
            </w:r>
          </w:p>
        </w:tc>
        <w:tc>
          <w:tcPr>
            <w:tcW w:w="1479"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50201.办公经费</w:t>
            </w:r>
          </w:p>
        </w:tc>
        <w:tc>
          <w:tcPr>
            <w:tcW w:w="1941"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32.民生类</w:t>
            </w:r>
          </w:p>
        </w:tc>
        <w:tc>
          <w:tcPr>
            <w:tcW w:w="169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2022年青龙镇驻村工作队工作经费</w:t>
            </w:r>
          </w:p>
        </w:tc>
        <w:tc>
          <w:tcPr>
            <w:tcW w:w="1706"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玉溪市脱贫攻坚市对下转移支付项目专项资金</w:t>
            </w:r>
          </w:p>
        </w:tc>
        <w:tc>
          <w:tcPr>
            <w:tcW w:w="1954"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214.上级补助/年初安排/专项转移支付</w:t>
            </w:r>
          </w:p>
        </w:tc>
        <w:tc>
          <w:tcPr>
            <w:tcW w:w="151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100,000.00</w:t>
            </w:r>
          </w:p>
        </w:tc>
        <w:tc>
          <w:tcPr>
            <w:tcW w:w="508"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551001.宁州街道办事处机关</w:t>
            </w:r>
          </w:p>
        </w:tc>
        <w:tc>
          <w:tcPr>
            <w:tcW w:w="2033"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1479" w:type="dxa"/>
            <w:vAlign w:val="center"/>
          </w:tcPr>
          <w:p>
            <w:pPr>
              <w:jc w:val="center"/>
              <w:rPr>
                <w:rFonts w:hint="default" w:ascii="Times New Roman" w:hAnsi="Times New Roman" w:cs="Times New Roman"/>
              </w:rPr>
            </w:pPr>
            <w:r>
              <w:rPr>
                <w:rFonts w:hint="default" w:ascii="Times New Roman" w:hAnsi="Times New Roman" w:cs="Times New Roman"/>
              </w:rPr>
              <w:t>50201.办公经费</w:t>
            </w:r>
          </w:p>
        </w:tc>
        <w:tc>
          <w:tcPr>
            <w:tcW w:w="1941"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1695" w:type="dxa"/>
            <w:vAlign w:val="center"/>
          </w:tcPr>
          <w:p>
            <w:pPr>
              <w:jc w:val="center"/>
              <w:rPr>
                <w:rFonts w:hint="default" w:ascii="Times New Roman" w:hAnsi="Times New Roman" w:cs="Times New Roman"/>
              </w:rPr>
            </w:pPr>
            <w:r>
              <w:rPr>
                <w:rFonts w:hint="default" w:ascii="Times New Roman" w:hAnsi="Times New Roman" w:cs="Times New Roman"/>
              </w:rPr>
              <w:t>2022年宁州街道驻村工作队工作经费</w:t>
            </w:r>
          </w:p>
        </w:tc>
        <w:tc>
          <w:tcPr>
            <w:tcW w:w="1706" w:type="dxa"/>
            <w:vAlign w:val="center"/>
          </w:tcPr>
          <w:p>
            <w:pPr>
              <w:jc w:val="center"/>
              <w:rPr>
                <w:rFonts w:hint="default" w:ascii="Times New Roman" w:hAnsi="Times New Roman" w:cs="Times New Roman"/>
              </w:rPr>
            </w:pPr>
            <w:r>
              <w:rPr>
                <w:rFonts w:hint="default" w:ascii="Times New Roman" w:hAnsi="Times New Roman" w:cs="Times New Roman"/>
              </w:rPr>
              <w:t>玉溪市脱贫攻坚市对下转移支付项目专项资金</w:t>
            </w:r>
          </w:p>
        </w:tc>
        <w:tc>
          <w:tcPr>
            <w:tcW w:w="195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140,000.00</w:t>
            </w:r>
          </w:p>
        </w:tc>
        <w:tc>
          <w:tcPr>
            <w:tcW w:w="50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573001.华溪镇人民政府</w:t>
            </w:r>
          </w:p>
        </w:tc>
        <w:tc>
          <w:tcPr>
            <w:tcW w:w="2033"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1479"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1941"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1695" w:type="dxa"/>
            <w:vAlign w:val="center"/>
          </w:tcPr>
          <w:p>
            <w:pPr>
              <w:jc w:val="center"/>
              <w:rPr>
                <w:rFonts w:hint="default" w:ascii="Times New Roman" w:hAnsi="Times New Roman" w:cs="Times New Roman"/>
              </w:rPr>
            </w:pPr>
            <w:r>
              <w:rPr>
                <w:rFonts w:hint="default" w:ascii="Times New Roman" w:hAnsi="Times New Roman" w:cs="Times New Roman"/>
              </w:rPr>
              <w:t>2021年华溪镇产业发展配套道路建设项目补助资金</w:t>
            </w:r>
          </w:p>
        </w:tc>
        <w:tc>
          <w:tcPr>
            <w:tcW w:w="1706" w:type="dxa"/>
            <w:vAlign w:val="center"/>
          </w:tcPr>
          <w:p>
            <w:pPr>
              <w:jc w:val="center"/>
              <w:rPr>
                <w:rFonts w:hint="default" w:ascii="Times New Roman" w:hAnsi="Times New Roman" w:cs="Times New Roman"/>
              </w:rPr>
            </w:pPr>
            <w:r>
              <w:rPr>
                <w:rFonts w:hint="default" w:ascii="Times New Roman" w:hAnsi="Times New Roman" w:cs="Times New Roman"/>
              </w:rPr>
              <w:t>玉溪市脱贫攻坚市对下转移支付项目专项资金</w:t>
            </w:r>
          </w:p>
        </w:tc>
        <w:tc>
          <w:tcPr>
            <w:tcW w:w="195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285,997.00</w:t>
            </w:r>
          </w:p>
        </w:tc>
        <w:tc>
          <w:tcPr>
            <w:tcW w:w="50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573001.华溪镇人民政府</w:t>
            </w:r>
          </w:p>
        </w:tc>
        <w:tc>
          <w:tcPr>
            <w:tcW w:w="2033"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1479" w:type="dxa"/>
            <w:vAlign w:val="center"/>
          </w:tcPr>
          <w:p>
            <w:pPr>
              <w:jc w:val="center"/>
              <w:rPr>
                <w:rFonts w:hint="default" w:ascii="Times New Roman" w:hAnsi="Times New Roman" w:cs="Times New Roman"/>
              </w:rPr>
            </w:pPr>
            <w:r>
              <w:rPr>
                <w:rFonts w:hint="default" w:ascii="Times New Roman" w:hAnsi="Times New Roman" w:cs="Times New Roman"/>
              </w:rPr>
              <w:t>50201.办公经费</w:t>
            </w:r>
          </w:p>
        </w:tc>
        <w:tc>
          <w:tcPr>
            <w:tcW w:w="1941"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1695" w:type="dxa"/>
            <w:vAlign w:val="center"/>
          </w:tcPr>
          <w:p>
            <w:pPr>
              <w:jc w:val="center"/>
              <w:rPr>
                <w:rFonts w:hint="default" w:ascii="Times New Roman" w:hAnsi="Times New Roman" w:cs="Times New Roman"/>
              </w:rPr>
            </w:pPr>
            <w:r>
              <w:rPr>
                <w:rFonts w:hint="default" w:ascii="Times New Roman" w:hAnsi="Times New Roman" w:cs="Times New Roman"/>
              </w:rPr>
              <w:t>2022年驻村工作队工作经费</w:t>
            </w:r>
          </w:p>
        </w:tc>
        <w:tc>
          <w:tcPr>
            <w:tcW w:w="1706" w:type="dxa"/>
            <w:vAlign w:val="center"/>
          </w:tcPr>
          <w:p>
            <w:pPr>
              <w:jc w:val="center"/>
              <w:rPr>
                <w:rFonts w:hint="default" w:ascii="Times New Roman" w:hAnsi="Times New Roman" w:cs="Times New Roman"/>
              </w:rPr>
            </w:pPr>
            <w:r>
              <w:rPr>
                <w:rFonts w:hint="default" w:ascii="Times New Roman" w:hAnsi="Times New Roman" w:cs="Times New Roman"/>
              </w:rPr>
              <w:t>玉溪市脱贫攻坚市对下转移支付项目专项资金</w:t>
            </w:r>
          </w:p>
        </w:tc>
        <w:tc>
          <w:tcPr>
            <w:tcW w:w="195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120,000.00</w:t>
            </w:r>
          </w:p>
        </w:tc>
        <w:tc>
          <w:tcPr>
            <w:tcW w:w="50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572001.盘溪镇政府</w:t>
            </w:r>
          </w:p>
        </w:tc>
        <w:tc>
          <w:tcPr>
            <w:tcW w:w="2033"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1479" w:type="dxa"/>
            <w:vAlign w:val="center"/>
          </w:tcPr>
          <w:p>
            <w:pPr>
              <w:jc w:val="center"/>
              <w:rPr>
                <w:rFonts w:hint="default" w:ascii="Times New Roman" w:hAnsi="Times New Roman" w:cs="Times New Roman"/>
              </w:rPr>
            </w:pPr>
            <w:r>
              <w:rPr>
                <w:rFonts w:hint="default" w:ascii="Times New Roman" w:hAnsi="Times New Roman" w:cs="Times New Roman"/>
              </w:rPr>
              <w:t>50201.办公经费</w:t>
            </w:r>
          </w:p>
        </w:tc>
        <w:tc>
          <w:tcPr>
            <w:tcW w:w="1941"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1695" w:type="dxa"/>
            <w:vAlign w:val="center"/>
          </w:tcPr>
          <w:p>
            <w:pPr>
              <w:jc w:val="center"/>
              <w:rPr>
                <w:rFonts w:hint="default" w:ascii="Times New Roman" w:hAnsi="Times New Roman" w:cs="Times New Roman"/>
              </w:rPr>
            </w:pPr>
            <w:r>
              <w:rPr>
                <w:rFonts w:hint="default" w:ascii="Times New Roman" w:hAnsi="Times New Roman" w:cs="Times New Roman"/>
              </w:rPr>
              <w:t>盘溪镇2022年驻村工作队工作经费</w:t>
            </w:r>
          </w:p>
        </w:tc>
        <w:tc>
          <w:tcPr>
            <w:tcW w:w="1706" w:type="dxa"/>
            <w:vAlign w:val="center"/>
          </w:tcPr>
          <w:p>
            <w:pPr>
              <w:jc w:val="center"/>
              <w:rPr>
                <w:rFonts w:hint="default" w:ascii="Times New Roman" w:hAnsi="Times New Roman" w:cs="Times New Roman"/>
              </w:rPr>
            </w:pPr>
            <w:r>
              <w:rPr>
                <w:rFonts w:hint="default" w:ascii="Times New Roman" w:hAnsi="Times New Roman" w:cs="Times New Roman"/>
              </w:rPr>
              <w:t>玉溪市脱贫攻坚市对下转移支付项目专项资金</w:t>
            </w:r>
          </w:p>
        </w:tc>
        <w:tc>
          <w:tcPr>
            <w:tcW w:w="195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20,000.00</w:t>
            </w:r>
          </w:p>
        </w:tc>
        <w:tc>
          <w:tcPr>
            <w:tcW w:w="50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285001.华宁县乡村振兴局</w:t>
            </w:r>
          </w:p>
        </w:tc>
        <w:tc>
          <w:tcPr>
            <w:tcW w:w="2033"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1479" w:type="dxa"/>
            <w:vAlign w:val="center"/>
          </w:tcPr>
          <w:p>
            <w:pPr>
              <w:jc w:val="center"/>
              <w:rPr>
                <w:rFonts w:hint="default" w:ascii="Times New Roman" w:hAnsi="Times New Roman" w:cs="Times New Roman"/>
              </w:rPr>
            </w:pPr>
            <w:r>
              <w:rPr>
                <w:rFonts w:hint="default" w:ascii="Times New Roman" w:hAnsi="Times New Roman" w:cs="Times New Roman"/>
              </w:rPr>
              <w:t>50299.其他商品和服务支出</w:t>
            </w:r>
          </w:p>
        </w:tc>
        <w:tc>
          <w:tcPr>
            <w:tcW w:w="1941"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1695" w:type="dxa"/>
            <w:vAlign w:val="center"/>
          </w:tcPr>
          <w:p>
            <w:pPr>
              <w:jc w:val="center"/>
              <w:rPr>
                <w:rFonts w:hint="default" w:ascii="Times New Roman" w:hAnsi="Times New Roman" w:cs="Times New Roman"/>
              </w:rPr>
            </w:pPr>
            <w:r>
              <w:rPr>
                <w:rFonts w:hint="default" w:ascii="Times New Roman" w:hAnsi="Times New Roman" w:cs="Times New Roman"/>
              </w:rPr>
              <w:t>2022年驻村工作队员意外保险经费</w:t>
            </w:r>
          </w:p>
        </w:tc>
        <w:tc>
          <w:tcPr>
            <w:tcW w:w="1706" w:type="dxa"/>
            <w:vAlign w:val="center"/>
          </w:tcPr>
          <w:p>
            <w:pPr>
              <w:jc w:val="center"/>
              <w:rPr>
                <w:rFonts w:hint="default" w:ascii="Times New Roman" w:hAnsi="Times New Roman" w:cs="Times New Roman"/>
              </w:rPr>
            </w:pPr>
            <w:r>
              <w:rPr>
                <w:rFonts w:hint="default" w:ascii="Times New Roman" w:hAnsi="Times New Roman" w:cs="Times New Roman"/>
              </w:rPr>
              <w:t>玉溪市脱贫攻坚市对下转移支付项目专项资金</w:t>
            </w:r>
          </w:p>
        </w:tc>
        <w:tc>
          <w:tcPr>
            <w:tcW w:w="195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17,043.00</w:t>
            </w:r>
          </w:p>
        </w:tc>
        <w:tc>
          <w:tcPr>
            <w:tcW w:w="50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2213" w:type="dxa"/>
            <w:gridSpan w:val="7"/>
          </w:tcPr>
          <w:p>
            <w:pPr>
              <w:jc w:val="center"/>
              <w:rPr>
                <w:rFonts w:hint="default" w:ascii="Times New Roman" w:hAnsi="Times New Roman" w:cs="Times New Roman"/>
              </w:rPr>
            </w:pPr>
            <w:r>
              <w:rPr>
                <w:rFonts w:hint="default" w:ascii="Times New Roman" w:hAnsi="Times New Roman" w:cs="Times New Roman"/>
              </w:rPr>
              <w:t>合计</w:t>
            </w:r>
          </w:p>
        </w:tc>
        <w:tc>
          <w:tcPr>
            <w:tcW w:w="1515" w:type="dxa"/>
          </w:tcPr>
          <w:p>
            <w:pPr>
              <w:jc w:val="center"/>
              <w:rPr>
                <w:rFonts w:hint="default" w:ascii="Times New Roman" w:hAnsi="Times New Roman" w:cs="Times New Roman"/>
              </w:rPr>
            </w:pPr>
            <w:r>
              <w:rPr>
                <w:rFonts w:hint="default" w:ascii="Times New Roman" w:hAnsi="Times New Roman" w:cs="Times New Roman"/>
              </w:rPr>
              <w:t>683,040.00</w:t>
            </w:r>
          </w:p>
        </w:tc>
        <w:tc>
          <w:tcPr>
            <w:tcW w:w="508" w:type="dxa"/>
          </w:tcPr>
          <w:p>
            <w:pPr>
              <w:rPr>
                <w:rFonts w:hint="default" w:ascii="Times New Roman" w:hAnsi="Times New Roman" w:cs="Times New Roman"/>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5"/>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60"/>
        <w:gridCol w:w="1080"/>
        <w:gridCol w:w="240"/>
        <w:gridCol w:w="840"/>
        <w:gridCol w:w="240"/>
        <w:gridCol w:w="1920"/>
        <w:gridCol w:w="240"/>
        <w:gridCol w:w="825"/>
        <w:gridCol w:w="15"/>
        <w:gridCol w:w="1080"/>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540" w:hRule="atLeast"/>
        </w:trPr>
        <w:tc>
          <w:tcPr>
            <w:tcW w:w="972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60" w:hRule="atLeast"/>
        </w:trPr>
        <w:tc>
          <w:tcPr>
            <w:tcW w:w="9720" w:type="dxa"/>
            <w:gridSpan w:val="11"/>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0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2022年驻村工作队工作经费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马丕海</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13378892332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0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0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年度资金总额：38万元</w:t>
            </w: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总投资38万元，其中：38万为市级财政衔接推进乡村振兴补助资金。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0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6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5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6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6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保障驻村工作正常运转工作经费（用于商品和服务支出）和补助联系村、攻坚村等需要。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贫困村个数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严格审批、规范使用财政专项资金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工作队工作完成率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补贴资金在规定时限内支付到位率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防范金融风险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带动贫困户稳定脱贫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3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18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85" w:type="dxa"/>
            <w:gridSpan w:val="12"/>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2022年驻村工作队员意外保险经费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马丕海</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13378892332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年度资金总额：1.7043万元</w:t>
            </w:r>
          </w:p>
        </w:tc>
        <w:tc>
          <w:tcPr>
            <w:tcW w:w="45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总投资1.7043万元，全部为市级财政衔接推进乡村振兴补助资金。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5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1.7043万元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5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91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1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保障驻地村工作队员的安全，每年足额缴纳驻村工作队员的意外保险。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投保人次</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保障人次</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保障时间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2022年1月1日至2022年12月31日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投保金额</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1.7043万元（每人299元）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保障额</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意外事故50万元、意外医疗5万元、身亡10万元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投保时间</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驻地村工作队员满意度</w:t>
            </w:r>
          </w:p>
        </w:tc>
        <w:tc>
          <w:tcPr>
            <w:tcW w:w="1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8"/>
          <w:szCs w:val="28"/>
        </w:rPr>
      </w:pPr>
    </w:p>
    <w:tbl>
      <w:tblPr>
        <w:tblStyle w:val="5"/>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160"/>
        <w:gridCol w:w="1470"/>
        <w:gridCol w:w="975"/>
        <w:gridCol w:w="2160"/>
        <w:gridCol w:w="85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765" w:type="dxa"/>
            <w:gridSpan w:val="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2021年华宁县华溪镇产业发展配套道路建设项目（先建后补）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马丕海</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13378892332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年度资金总额：28.5997万元</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总投资28.5997万元，其中：28.5997万为市级财政衔接推进乡村振兴补助资金。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28.5997万元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9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小寨手扒岩路段排水沟沟槽土方开挖45.3m3、C20砼沟建设58.89m3、挡墙基槽土方开挖225m3、C20砼现浇挡墙135m3、路基平整1680㎡、风化料调型168m3内容建设。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路基平整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小寨手扒岩路段排水沟沟槽土方开挖</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受益建档立卡贫困人口数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工程使用年限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建档立卡贫困户满意度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9</w:t>
            </w:r>
            <w:r>
              <w:rPr>
                <w:rFonts w:hint="default" w:ascii="Times New Roman" w:hAnsi="Times New Roman" w:eastAsia="宋体" w:cs="Times New Roman"/>
                <w:i w:val="0"/>
                <w:color w:val="000000"/>
                <w:kern w:val="0"/>
                <w:sz w:val="20"/>
                <w:szCs w:val="20"/>
                <w:u w:val="none"/>
                <w:lang w:val="en-US" w:eastAsia="zh-CN" w:bidi="ar"/>
              </w:rPr>
              <w:t>0%</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w w:val="90"/>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日印发</w:t>
      </w:r>
    </w:p>
    <w:p>
      <w:pPr>
        <w:spacing w:line="300" w:lineRule="exact"/>
        <w:jc w:val="left"/>
        <w:rPr>
          <w:rFonts w:hint="default" w:ascii="Times New Roman" w:hAnsi="Times New Roman" w:eastAsia="方正仿宋_GBK" w:cs="Times New Roman"/>
          <w:sz w:val="28"/>
          <w:szCs w:val="28"/>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tXtfUpCHuAMjhCmB9CIhqq6aliQ=" w:salt="JZcTIINRnWmrWpVNxcDXz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6B0C5F"/>
    <w:rsid w:val="3D0E68F7"/>
    <w:rsid w:val="41524D2E"/>
    <w:rsid w:val="441A37D3"/>
    <w:rsid w:val="460F4DB2"/>
    <w:rsid w:val="46FD4AB7"/>
    <w:rsid w:val="47291516"/>
    <w:rsid w:val="47EF57E2"/>
    <w:rsid w:val="4B5869BB"/>
    <w:rsid w:val="4B8725BB"/>
    <w:rsid w:val="4D0B020E"/>
    <w:rsid w:val="4D5C18D3"/>
    <w:rsid w:val="4E190719"/>
    <w:rsid w:val="521405B2"/>
    <w:rsid w:val="5437167A"/>
    <w:rsid w:val="556A5494"/>
    <w:rsid w:val="55C86D02"/>
    <w:rsid w:val="56847DB9"/>
    <w:rsid w:val="56B23EE3"/>
    <w:rsid w:val="5A71200C"/>
    <w:rsid w:val="5C497844"/>
    <w:rsid w:val="5C960873"/>
    <w:rsid w:val="5DEC6249"/>
    <w:rsid w:val="5F2E4200"/>
    <w:rsid w:val="5F5C0FE6"/>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3DD1208"/>
    <w:rsid w:val="77C9223D"/>
    <w:rsid w:val="77D4751C"/>
    <w:rsid w:val="7BDE3E05"/>
    <w:rsid w:val="7DFF3481"/>
    <w:rsid w:val="EED5B486"/>
    <w:rsid w:val="FF77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2385</Words>
  <Characters>2826</Characters>
  <Lines>2</Lines>
  <Paragraphs>1</Paragraphs>
  <TotalTime>0</TotalTime>
  <ScaleCrop>false</ScaleCrop>
  <LinksUpToDate>false</LinksUpToDate>
  <CharactersWithSpaces>2866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2018-09-06T09:32:00Z</dcterms:created>
  <dc:creator>市财政局</dc:creator>
  <cp:lastModifiedBy>华宁财政局</cp:lastModifiedBy>
  <dcterms:modified xsi:type="dcterms:W3CDTF">2022-04-21T01:03:27Z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5B3D4777F149432499F228235568C993</vt:lpwstr>
  </property>
  <property fmtid="{D5CDD505-2E9C-101B-9397-08002B2CF9AE}" pid="4" name="docranid">
    <vt:lpwstr>372A0C30DE88489D82470BDD296B6894</vt:lpwstr>
  </property>
</Properties>
</file>