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ascii="方正小标宋简体" w:hAnsi="方正小标宋简体" w:eastAsia="方正小标宋简体" w:cs="方正小标宋简体"/>
          <w:b/>
          <w:bCs/>
          <w:color w:val="FF0000"/>
          <w:spacing w:val="-14"/>
          <w:w w:val="90"/>
          <w:sz w:val="122"/>
          <w:szCs w:val="12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both"/>
        <w:textAlignment w:val="auto"/>
        <w:outlineLvl w:val="9"/>
        <w:rPr>
          <w:rFonts w:ascii="方正小标宋简体" w:hAnsi="方正小标宋简体" w:eastAsia="方正小标宋简体" w:cs="方正小标宋简体"/>
          <w:b/>
          <w:bCs/>
          <w:color w:val="FF0000"/>
          <w:spacing w:val="-14"/>
          <w:w w:val="90"/>
          <w:sz w:val="122"/>
          <w:szCs w:val="122"/>
        </w:rPr>
      </w:pPr>
    </w:p>
    <w:p>
      <w:pPr>
        <w:spacing w:line="1400" w:lineRule="exact"/>
        <w:jc w:val="center"/>
        <w:rPr>
          <w:rFonts w:ascii="方正小标宋_GBK" w:hAnsi="方正小标宋_GBK" w:eastAsia="方正小标宋_GBK" w:cs="方正小标宋_GBK"/>
          <w:color w:val="000000"/>
          <w:spacing w:val="14"/>
          <w:sz w:val="100"/>
          <w:szCs w:val="100"/>
        </w:rPr>
      </w:pPr>
      <w:r>
        <w:rPr>
          <w:rFonts w:hint="eastAsia" w:ascii="方正小标宋_GBK" w:hAnsi="方正小标宋_GBK" w:eastAsia="方正小标宋_GBK" w:cs="方正小标宋_GBK"/>
          <w:color w:val="FF0000"/>
          <w:spacing w:val="14"/>
          <w:sz w:val="100"/>
          <w:szCs w:val="100"/>
        </w:rPr>
        <w:t>通海县财政局文件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textAlignment w:val="auto"/>
        <w:outlineLvl w:val="9"/>
        <w:rPr>
          <w:rFonts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ascii="楷体_GB2312" w:hAnsi="楷体_GB2312" w:eastAsia="楷体_GB2312" w:cs="楷体_GB2312"/>
          <w:sz w:val="32"/>
          <w:szCs w:val="32"/>
        </w:rPr>
      </w:pPr>
      <w:r>
        <w:rPr>
          <w:rFonts w:hint="eastAsia"/>
          <w:b/>
          <w:color w:val="FF0000"/>
          <w:spacing w:val="-28"/>
          <w:sz w:val="32"/>
          <w:szCs w:val="32"/>
        </w:rPr>
        <mc:AlternateContent>
          <mc:Choice Requires="wps">
            <w:drawing>
              <wp:anchor distT="0" distB="0" distL="114300" distR="114300" simplePos="0" relativeHeight="251662336" behindDoc="0" locked="0" layoutInCell="1" allowOverlap="1">
                <wp:simplePos x="0" y="0"/>
                <wp:positionH relativeFrom="column">
                  <wp:posOffset>38735</wp:posOffset>
                </wp:positionH>
                <wp:positionV relativeFrom="paragraph">
                  <wp:posOffset>369570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19050" cap="flat" cmpd="sng">
                          <a:solidFill>
                            <a:srgbClr val="F9052D"/>
                          </a:solidFill>
                          <a:prstDash val="solid"/>
                          <a:headEnd type="none" w="med" len="med"/>
                          <a:tailEnd type="none" w="med" len="med"/>
                        </a:ln>
                      </wps:spPr>
                      <wps:bodyPr/>
                    </wps:wsp>
                  </a:graphicData>
                </a:graphic>
              </wp:anchor>
            </w:drawing>
          </mc:Choice>
          <mc:Fallback>
            <w:pict>
              <v:line id="_x0000_s1026" o:spid="_x0000_s1026" o:spt="20" style="position:absolute;left:0pt;margin-left:3.05pt;margin-top:29.1pt;height:0.05pt;width:447.85pt;z-index:251662336;mso-width-relative:page;mso-height-relative:page;" filled="f" stroked="t" coordsize="21600,21600" o:gfxdata="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EmjYrXAAAABwEAAA8AAAAAAAAAAQAg&#10;AAAAIgAAAGRycy9kb3ducmV2LnhtbFBLAQIUABQAAAAIAIdO4kDOVd4M1gEAAI0DAAAOAAAAAAAA&#10;AAEAIAAAACYBAABkcnMvZTJvRG9jLnhtbFBLBQYAAAAABgAGAFkBAABuBQAAAAA=&#10;">
                <v:fill on="f" focussize="0,0"/>
                <v:stroke weight="1.5pt" color="#F9052D" joinstyle="round"/>
                <v:imagedata o:title=""/>
                <o:lock v:ext="edit" aspectratio="f"/>
              </v:line>
            </w:pict>
          </mc:Fallback>
        </mc:AlternateContent>
      </w:r>
      <w:r>
        <w:rPr>
          <w:rFonts w:hint="eastAsia" w:ascii="Times New Roman" w:hAnsi="Times New Roman" w:eastAsia="方正仿宋_GBK" w:cs="Times New Roman"/>
          <w:sz w:val="32"/>
          <w:szCs w:val="32"/>
        </w:rPr>
        <w:t>通财</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23</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27</w:t>
      </w:r>
      <w:r>
        <w:rPr>
          <w:rFonts w:ascii="Times New Roman" w:hAnsi="Times New Roman" w:eastAsia="方正仿宋_GBK" w:cs="Times New Roman"/>
          <w:sz w:val="32"/>
          <w:szCs w:val="32"/>
        </w:rPr>
        <w:t>号</w:t>
      </w:r>
    </w:p>
    <w:p>
      <w:pPr>
        <w:keepNext w:val="0"/>
        <w:keepLines w:val="0"/>
        <w:pageBreakBefore w:val="0"/>
        <w:widowControl w:val="0"/>
        <w:tabs>
          <w:tab w:val="right" w:pos="9064"/>
        </w:tabs>
        <w:kinsoku/>
        <w:wordWrap/>
        <w:overflowPunct/>
        <w:topLinePunct w:val="0"/>
        <w:autoSpaceDE/>
        <w:autoSpaceDN/>
        <w:bidi w:val="0"/>
        <w:adjustRightInd/>
        <w:snapToGrid/>
        <w:spacing w:line="590" w:lineRule="exact"/>
        <w:ind w:left="0" w:leftChars="0" w:right="0" w:rightChars="0" w:firstLine="0" w:firstLineChars="0"/>
        <w:textAlignment w:val="auto"/>
        <w:outlineLvl w:val="9"/>
        <w:rPr>
          <w:rFonts w:ascii="仿宋_GB2312" w:eastAsia="仿宋_GB2312"/>
          <w:color w:val="000000"/>
          <w:spacing w:val="-2"/>
          <w:w w:val="90"/>
          <w:sz w:val="32"/>
          <w:szCs w:val="32"/>
        </w:rPr>
      </w:pPr>
      <w:r>
        <w:rPr>
          <w:b/>
          <w:color w:val="FF0000"/>
          <w:spacing w:val="-28"/>
          <w:w w:val="90"/>
          <w:sz w:val="32"/>
          <w:szCs w:val="32"/>
        </w:rPr>
        <w:tab/>
      </w:r>
      <w:r>
        <w:rPr>
          <w:b/>
          <w:color w:val="FF0000"/>
          <w:spacing w:val="-28"/>
          <w:w w:val="90"/>
          <w:sz w:val="32"/>
          <w:szCs w:val="32"/>
        </w:rPr>
        <w:tab/>
      </w:r>
      <w:bookmarkStart w:id="0" w:name="OLE_LINK1"/>
      <w:bookmarkStart w:id="1" w:name="OLE_LINK7"/>
      <w:bookmarkStart w:id="2" w:name="OLE_LINK2"/>
      <w:bookmarkStart w:id="3" w:name="OLE_LINK6"/>
      <w:bookmarkStart w:id="4" w:name="OLE_LINK5"/>
      <w:bookmarkStart w:id="5" w:name="OLE_LINK4"/>
    </w:p>
    <w:bookmarkEnd w:id="0"/>
    <w:bookmarkEnd w:id="1"/>
    <w:bookmarkEnd w:id="2"/>
    <w:bookmarkEnd w:id="3"/>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0" w:firstLineChars="0"/>
        <w:jc w:val="center"/>
        <w:textAlignment w:val="auto"/>
        <w:rPr>
          <w:rFonts w:ascii="Times New Roman" w:hAnsi="Times New Roman" w:eastAsia="方正小标宋_GBK"/>
          <w:spacing w:val="6"/>
          <w:sz w:val="44"/>
          <w:szCs w:val="44"/>
        </w:rPr>
      </w:pPr>
      <w:r>
        <w:rPr>
          <w:rFonts w:ascii="Times New Roman" w:hAnsi="Times New Roman" w:eastAsia="方正小标宋_GBK" w:cs="Times New Roman"/>
          <w:spacing w:val="6"/>
          <w:sz w:val="44"/>
          <w:szCs w:val="44"/>
        </w:rPr>
        <w:t>关于下达2023年中央财政</w:t>
      </w:r>
    </w:p>
    <w:p>
      <w:pPr>
        <w:keepNext w:val="0"/>
        <w:keepLines w:val="0"/>
        <w:pageBreakBefore w:val="0"/>
        <w:widowControl w:val="0"/>
        <w:kinsoku/>
        <w:wordWrap/>
        <w:topLinePunct w:val="0"/>
        <w:autoSpaceDE/>
        <w:autoSpaceDN/>
        <w:bidi w:val="0"/>
        <w:adjustRightInd/>
        <w:spacing w:line="600" w:lineRule="exact"/>
        <w:ind w:left="0" w:leftChars="0" w:right="0" w:rightChars="0" w:firstLine="0" w:firstLineChars="0"/>
        <w:jc w:val="center"/>
        <w:textAlignment w:val="auto"/>
        <w:outlineLvl w:val="0"/>
        <w:rPr>
          <w:rFonts w:ascii="Times New Roman" w:hAnsi="Times New Roman" w:eastAsia="方正小标宋_GBK"/>
          <w:b/>
          <w:spacing w:val="14"/>
          <w:sz w:val="44"/>
          <w:szCs w:val="44"/>
        </w:rPr>
      </w:pPr>
      <w:r>
        <w:rPr>
          <w:rFonts w:ascii="Times New Roman" w:hAnsi="Times New Roman" w:eastAsia="方正小标宋_GBK" w:cs="Times New Roman"/>
          <w:spacing w:val="6"/>
          <w:sz w:val="44"/>
          <w:szCs w:val="44"/>
        </w:rPr>
        <w:t>衔接推进乡村振兴补助资金</w:t>
      </w:r>
      <w:r>
        <w:rPr>
          <w:rFonts w:ascii="Times New Roman" w:hAnsi="Times New Roman" w:eastAsia="方正小标宋_GBK" w:cs="Times New Roman"/>
          <w:sz w:val="44"/>
          <w:szCs w:val="44"/>
        </w:rPr>
        <w:t>的通知</w:t>
      </w:r>
      <w:bookmarkEnd w:id="4"/>
      <w:bookmarkEnd w:id="5"/>
    </w:p>
    <w:p>
      <w:pPr>
        <w:keepNext w:val="0"/>
        <w:keepLines w:val="0"/>
        <w:pageBreakBefore w:val="0"/>
        <w:kinsoku/>
        <w:wordWrap/>
        <w:topLinePunct w:val="0"/>
        <w:autoSpaceDE/>
        <w:autoSpaceDN/>
        <w:bidi w:val="0"/>
        <w:adjustRightInd/>
        <w:snapToGrid/>
        <w:spacing w:line="590" w:lineRule="exact"/>
        <w:ind w:left="0" w:leftChars="0" w:right="0" w:rightChars="0"/>
        <w:outlineLvl w:val="9"/>
        <w:rPr>
          <w:sz w:val="32"/>
          <w:szCs w:val="32"/>
        </w:rPr>
      </w:pPr>
    </w:p>
    <w:p>
      <w:pPr>
        <w:keepNext w:val="0"/>
        <w:keepLines w:val="0"/>
        <w:pageBreakBefore w:val="0"/>
        <w:kinsoku/>
        <w:wordWrap/>
        <w:topLinePunct w:val="0"/>
        <w:autoSpaceDE/>
        <w:autoSpaceDN/>
        <w:bidi w:val="0"/>
        <w:adjustRightInd/>
        <w:snapToGrid/>
        <w:spacing w:line="590" w:lineRule="exact"/>
        <w:ind w:left="0" w:leftChars="0" w:right="0" w:rightChars="0"/>
        <w:outlineLvl w:val="9"/>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通海县乡村振兴局、民族宗教局：</w:t>
      </w:r>
    </w:p>
    <w:p>
      <w:pPr>
        <w:keepNext w:val="0"/>
        <w:keepLines w:val="0"/>
        <w:pageBreakBefore w:val="0"/>
        <w:kinsoku/>
        <w:wordWrap/>
        <w:topLinePunct w:val="0"/>
        <w:autoSpaceDE/>
        <w:autoSpaceDN/>
        <w:bidi w:val="0"/>
        <w:adjustRightInd/>
        <w:snapToGrid/>
        <w:spacing w:line="590" w:lineRule="exact"/>
        <w:ind w:left="0" w:leftChars="0" w:right="0" w:rightChars="0" w:firstLine="480" w:firstLineChars="150"/>
        <w:outlineLvl w:val="9"/>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bidi="ar"/>
        </w:rPr>
        <w:t>《玉溪市财政局关于提前下达2023年中央财政衔接推进乡村振兴补助资金的通知》（玉财农〔2022〕250号）文件</w:t>
      </w:r>
      <w:r>
        <w:rPr>
          <w:rFonts w:hint="eastAsia" w:ascii="方正仿宋_GBK" w:hAnsi="Times New Roman" w:eastAsia="方正仿宋_GBK"/>
          <w:sz w:val="32"/>
          <w:szCs w:val="32"/>
        </w:rPr>
        <w:t>和《通海县人民政府关于2023年中央财政衔接推进乡村振兴补助资金计划实施项目的批复》（通政复〔2023〕1号）、《通海县农业农村局_通海县民族宗教事务局关于给予批准2023年中央财政衔接推进乡村振兴补助资金计划实施项目的请示》（通农字〔2023〕5号）文件</w:t>
      </w:r>
      <w:r>
        <w:rPr>
          <w:rFonts w:hint="eastAsia" w:ascii="Times New Roman" w:hAnsi="Times New Roman" w:eastAsia="方正仿宋_GBK"/>
          <w:sz w:val="32"/>
          <w:szCs w:val="32"/>
          <w:lang w:bidi="ar"/>
        </w:rPr>
        <w:t>要求</w:t>
      </w:r>
      <w:r>
        <w:rPr>
          <w:rFonts w:ascii="Times New Roman" w:hAnsi="Times New Roman" w:eastAsia="方正仿宋_GBK"/>
          <w:sz w:val="32"/>
          <w:szCs w:val="32"/>
          <w:lang w:bidi="ar"/>
        </w:rPr>
        <w:t>，</w:t>
      </w:r>
      <w:r>
        <w:rPr>
          <w:rFonts w:hint="eastAsia" w:ascii="Times New Roman" w:hAnsi="Times New Roman" w:eastAsia="方正仿宋_GBK"/>
          <w:sz w:val="32"/>
          <w:szCs w:val="32"/>
          <w:lang w:bidi="ar"/>
        </w:rPr>
        <w:t>现下达2023年中央财政衔接推进乡村振兴补助资金2485万元（详见附件），支出列2023年“21305－巩固脱贫衔接乡村振兴”相关科目（“项级”科目根据具体实施项目确定），经济科目列“50205－委托业务费”。现就资金使用管理有关事宜通知如下：</w:t>
      </w:r>
    </w:p>
    <w:p>
      <w:pPr>
        <w:keepNext w:val="0"/>
        <w:keepLines w:val="0"/>
        <w:pageBreakBefore w:val="0"/>
        <w:kinsoku/>
        <w:wordWrap/>
        <w:overflowPunct w:val="0"/>
        <w:topLinePunct w:val="0"/>
        <w:autoSpaceDE/>
        <w:autoSpaceDN/>
        <w:bidi w:val="0"/>
        <w:adjustRightInd/>
        <w:snapToGrid/>
        <w:spacing w:line="590" w:lineRule="exact"/>
        <w:ind w:left="0" w:leftChars="0" w:right="0" w:rightChars="0" w:firstLine="640" w:firstLineChars="200"/>
        <w:outlineLvl w:val="9"/>
        <w:rPr>
          <w:rFonts w:ascii="Times New Roman" w:hAnsi="Times New Roman" w:eastAsia="方正仿宋_GBK"/>
          <w:sz w:val="32"/>
          <w:szCs w:val="32"/>
          <w:lang w:bidi="ar"/>
        </w:rPr>
      </w:pPr>
      <w:r>
        <w:rPr>
          <w:rFonts w:hint="eastAsia" w:ascii="Times New Roman" w:hAnsi="Times New Roman" w:eastAsia="方正仿宋_GBK"/>
          <w:sz w:val="32"/>
          <w:szCs w:val="32"/>
          <w:lang w:bidi="ar"/>
        </w:rPr>
        <w:t>一、切实管好用好衔接资金。认真贯彻落实党中央、国务院和省委省政府关于巩固拓展脱贫攻坚成果同乡村振兴有效衔接的决策部署，严格按照《中央财政衔接推进乡村振兴补助资金管理办法》（财农〔2021〕19号）、财政部等6部委《关于加强中央财政衔接推进乡村振兴补助资金使用管理的指导意见》（财农〔2022〕4号）《云南省财政衔接推进乡村振兴补助资金管理办法》（云财农〔2021〕140号）和省财政厅等6部门《关于加强中央和省级财政衔接推进乡村振兴补助资金使用管理的实施意见》（云财规〔2022〕23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kinsoku/>
        <w:wordWrap/>
        <w:overflowPunct w:val="0"/>
        <w:topLinePunct w:val="0"/>
        <w:autoSpaceDE/>
        <w:autoSpaceDN/>
        <w:bidi w:val="0"/>
        <w:adjustRightInd/>
        <w:snapToGrid/>
        <w:spacing w:line="590" w:lineRule="exact"/>
        <w:ind w:left="0" w:leftChars="0" w:right="0" w:rightChars="0" w:firstLine="640" w:firstLineChars="200"/>
        <w:outlineLvl w:val="9"/>
        <w:rPr>
          <w:rFonts w:ascii="Times New Roman" w:hAnsi="Times New Roman" w:eastAsia="方正仿宋_GBK"/>
          <w:sz w:val="32"/>
          <w:szCs w:val="32"/>
          <w:lang w:bidi="ar"/>
        </w:rPr>
      </w:pPr>
      <w:r>
        <w:rPr>
          <w:rFonts w:hint="eastAsia" w:ascii="Times New Roman" w:hAnsi="Times New Roman" w:eastAsia="方正仿宋_GBK"/>
          <w:sz w:val="32"/>
          <w:szCs w:val="32"/>
          <w:lang w:bidi="ar"/>
        </w:rPr>
        <w:t>二、突出衔接资金支持重点。贯彻落实党的二十大精神、中央和省委省政府关于更多依靠发展来巩固拓展脱贫攻坚成果的要求，督促相关部门加强项目谋划等前期工作，突出衔接资金支持重点，优先支持联农带农富农产业发展，2023年用于产业发展的衔接资金占比原则上不得低于下达你地区资金总规模的60%，且不得低于2022年的资金占比，进一步巩固拓展脱贫攻坚成果，增强脱贫地区和脱贫群众内生发展动力。</w:t>
      </w:r>
    </w:p>
    <w:p>
      <w:pPr>
        <w:keepNext w:val="0"/>
        <w:keepLines w:val="0"/>
        <w:pageBreakBefore w:val="0"/>
        <w:kinsoku/>
        <w:wordWrap/>
        <w:overflowPunct w:val="0"/>
        <w:topLinePunct w:val="0"/>
        <w:autoSpaceDE/>
        <w:autoSpaceDN/>
        <w:bidi w:val="0"/>
        <w:adjustRightInd/>
        <w:snapToGrid/>
        <w:spacing w:line="590" w:lineRule="exact"/>
        <w:ind w:left="0" w:leftChars="0" w:right="0" w:rightChars="0" w:firstLine="640" w:firstLineChars="200"/>
        <w:outlineLvl w:val="9"/>
        <w:rPr>
          <w:rFonts w:ascii="Times New Roman" w:hAnsi="Times New Roman" w:eastAsia="方正仿宋_GBK"/>
          <w:sz w:val="32"/>
          <w:szCs w:val="32"/>
          <w:lang w:bidi="ar"/>
        </w:rPr>
      </w:pPr>
      <w:r>
        <w:rPr>
          <w:rFonts w:hint="eastAsia" w:ascii="Times New Roman" w:hAnsi="Times New Roman" w:eastAsia="方正仿宋_GBK"/>
          <w:sz w:val="32"/>
          <w:szCs w:val="32"/>
          <w:lang w:bidi="ar"/>
        </w:rPr>
        <w:t>三、落实直达资金管理要求。中央衔接资金纳入中央直达资金管理，请按照《财政部关于做好2022年财政资金直达工作的通知》（财办〔2022〕12号）《云南省财政厅转发财政部关于做好2022年财政资金直达工作的通知》（云财预〔2022〕51号）要求做好相关工作。单独下达预算指标文件，并保持中央直达资金标识不变，贯穿资金分配、拨付、使用等整个环节。同时，在指标管理系统中及时登录有关指标和直达资金标识，导入直达资金监控系统，确保数据真实、账目清晰、流向明确。对于资金来源既包含中央直达资金又包含地方对应资金的项目，在预算指标文件、指标管理系统中可按资金明细来源分别列示，在指标管理系统中分别登录；也可由直达资金监控系统按照中央直达资金、地方对应安排资金的比例自动拆分。</w:t>
      </w:r>
    </w:p>
    <w:p>
      <w:pPr>
        <w:keepNext w:val="0"/>
        <w:keepLines w:val="0"/>
        <w:pageBreakBefore w:val="0"/>
        <w:kinsoku/>
        <w:wordWrap/>
        <w:overflowPunct w:val="0"/>
        <w:topLinePunct w:val="0"/>
        <w:autoSpaceDE/>
        <w:autoSpaceDN/>
        <w:bidi w:val="0"/>
        <w:adjustRightInd/>
        <w:snapToGrid/>
        <w:spacing w:line="590" w:lineRule="exact"/>
        <w:ind w:right="0" w:rightChars="0"/>
        <w:jc w:val="left"/>
        <w:outlineLvl w:val="9"/>
        <w:rPr>
          <w:rFonts w:hint="eastAsia" w:ascii="Times New Roman" w:hAnsi="Times New Roman" w:eastAsia="方正仿宋_GBK"/>
          <w:sz w:val="32"/>
          <w:szCs w:val="32"/>
          <w:lang w:bidi="ar"/>
        </w:rPr>
      </w:pPr>
    </w:p>
    <w:p>
      <w:pPr>
        <w:keepNext w:val="0"/>
        <w:keepLines w:val="0"/>
        <w:pageBreakBefore w:val="0"/>
        <w:kinsoku/>
        <w:wordWrap/>
        <w:overflowPunct w:val="0"/>
        <w:topLinePunct w:val="0"/>
        <w:autoSpaceDE/>
        <w:autoSpaceDN/>
        <w:bidi w:val="0"/>
        <w:adjustRightInd/>
        <w:snapToGrid/>
        <w:spacing w:line="590" w:lineRule="exact"/>
        <w:ind w:left="956" w:leftChars="304" w:right="0" w:rightChars="0" w:hanging="320" w:hangingChars="100"/>
        <w:jc w:val="left"/>
        <w:outlineLvl w:val="9"/>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附件：</w:t>
      </w:r>
      <w:r>
        <w:rPr>
          <w:rFonts w:hint="eastAsia" w:ascii="Times New Roman" w:hAnsi="Times New Roman" w:eastAsia="方正仿宋_GBK"/>
          <w:sz w:val="32"/>
          <w:szCs w:val="32"/>
          <w:lang w:val="en-US" w:eastAsia="zh-CN" w:bidi="ar"/>
        </w:rPr>
        <w:t>1、</w:t>
      </w:r>
      <w:r>
        <w:rPr>
          <w:rFonts w:hint="eastAsia" w:ascii="Times New Roman" w:hAnsi="Times New Roman" w:eastAsia="方正仿宋_GBK"/>
          <w:sz w:val="32"/>
          <w:szCs w:val="32"/>
          <w:lang w:bidi="ar"/>
        </w:rPr>
        <w:t>2023年中央财政衔接推进乡村振兴补助资金表</w:t>
      </w:r>
    </w:p>
    <w:p>
      <w:pPr>
        <w:keepNext w:val="0"/>
        <w:keepLines w:val="0"/>
        <w:pageBreakBefore w:val="0"/>
        <w:widowControl w:val="0"/>
        <w:kinsoku/>
        <w:wordWrap/>
        <w:overflowPunct w:val="0"/>
        <w:topLinePunct w:val="0"/>
        <w:autoSpaceDE/>
        <w:autoSpaceDN/>
        <w:bidi w:val="0"/>
        <w:adjustRightInd/>
        <w:snapToGrid/>
        <w:spacing w:line="590" w:lineRule="exact"/>
        <w:ind w:left="1596" w:leftChars="760" w:right="0" w:rightChars="0" w:firstLine="0" w:firstLineChars="0"/>
        <w:jc w:val="left"/>
        <w:textAlignment w:val="auto"/>
        <w:outlineLvl w:val="9"/>
        <w:rPr>
          <w:rFonts w:hint="default"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2、通海县2023年中央财政衔接推进乡村振兴补助资金实施项目绩效目标表</w:t>
      </w:r>
    </w:p>
    <w:p>
      <w:pPr>
        <w:keepNext w:val="0"/>
        <w:keepLines w:val="0"/>
        <w:pageBreakBefore w:val="0"/>
        <w:kinsoku/>
        <w:wordWrap/>
        <w:overflowPunct w:val="0"/>
        <w:topLinePunct w:val="0"/>
        <w:autoSpaceDE/>
        <w:autoSpaceDN/>
        <w:bidi w:val="0"/>
        <w:adjustRightInd/>
        <w:snapToGrid/>
        <w:spacing w:line="590" w:lineRule="exact"/>
        <w:ind w:left="0" w:leftChars="0" w:right="0" w:rightChars="0" w:hanging="1280" w:hangingChars="400"/>
        <w:outlineLvl w:val="9"/>
        <w:rPr>
          <w:rFonts w:ascii="Times New Roman" w:hAnsi="Times New Roman" w:eastAsia="方正仿宋_GBK"/>
          <w:sz w:val="32"/>
          <w:szCs w:val="32"/>
          <w:lang w:bidi="ar"/>
        </w:rPr>
      </w:pPr>
      <w:r>
        <w:rPr>
          <w:sz w:val="32"/>
        </w:rPr>
        <w:pict>
          <v:shape id="_x0000_s1026" o:spid="_x0000_s1026" o:spt="201" type="#_x0000_t201" style="position:absolute;left:0pt;margin-left:241.9pt;margin-top:9.6pt;height:113pt;width:113pt;z-index:-251653120;mso-width-relative:page;mso-height-relative:page;" o:ole="t" filled="f" o:preferrelative="t" stroked="f" coordsize="21600,21600">
            <v:path/>
            <v:fill on="f" focussize="0,0"/>
            <v:stroke on="f"/>
            <v:imagedata r:id="rId7" o:title=""/>
            <o:lock v:ext="edit" aspectratio="f"/>
          </v:shape>
          <w:control r:id="rId6" w:name="CWordOLECtrl1" w:shapeid="_x0000_s1026"/>
        </w:pict>
      </w:r>
      <w:r>
        <w:rPr>
          <w:rFonts w:hint="eastAsia" w:ascii="Times New Roman" w:hAnsi="Times New Roman" w:eastAsia="方正仿宋_GBK"/>
          <w:sz w:val="32"/>
          <w:szCs w:val="32"/>
          <w:lang w:bidi="ar"/>
        </w:rPr>
        <w:t xml:space="preserve">     </w:t>
      </w:r>
    </w:p>
    <w:p>
      <w:pPr>
        <w:keepNext w:val="0"/>
        <w:keepLines w:val="0"/>
        <w:pageBreakBefore w:val="0"/>
        <w:kinsoku/>
        <w:wordWrap/>
        <w:overflowPunct w:val="0"/>
        <w:topLinePunct w:val="0"/>
        <w:autoSpaceDE/>
        <w:autoSpaceDN/>
        <w:bidi w:val="0"/>
        <w:adjustRightInd/>
        <w:snapToGrid/>
        <w:spacing w:line="590" w:lineRule="exact"/>
        <w:ind w:left="0" w:leftChars="0" w:right="0" w:rightChars="0"/>
        <w:outlineLvl w:val="9"/>
        <w:rPr>
          <w:rFonts w:hint="eastAsia" w:ascii="Times New Roman" w:hAnsi="Times New Roman" w:eastAsia="方正仿宋_GBK"/>
          <w:sz w:val="32"/>
          <w:szCs w:val="32"/>
          <w:lang w:bidi="ar"/>
        </w:rPr>
      </w:pPr>
    </w:p>
    <w:p>
      <w:pPr>
        <w:keepNext w:val="0"/>
        <w:keepLines w:val="0"/>
        <w:pageBreakBefore w:val="0"/>
        <w:kinsoku/>
        <w:wordWrap/>
        <w:overflowPunct w:val="0"/>
        <w:topLinePunct w:val="0"/>
        <w:autoSpaceDE/>
        <w:autoSpaceDN/>
        <w:bidi w:val="0"/>
        <w:adjustRightInd/>
        <w:snapToGrid/>
        <w:spacing w:line="590" w:lineRule="exact"/>
        <w:ind w:left="0" w:leftChars="0" w:right="0" w:rightChars="0" w:firstLine="4960" w:firstLineChars="1550"/>
        <w:outlineLvl w:val="9"/>
        <w:rPr>
          <w:rFonts w:ascii="Times New Roman" w:hAnsi="Times New Roman" w:eastAsia="方正仿宋_GBK"/>
          <w:sz w:val="32"/>
          <w:szCs w:val="32"/>
          <w:lang w:bidi="ar"/>
        </w:rPr>
      </w:pPr>
      <w:r>
        <w:rPr>
          <w:rFonts w:hint="eastAsia" w:ascii="Times New Roman" w:hAnsi="Times New Roman" w:eastAsia="方正仿宋_GBK"/>
          <w:sz w:val="32"/>
          <w:szCs w:val="32"/>
          <w:lang w:bidi="ar"/>
        </w:rPr>
        <w:t>通海县财政局</w:t>
      </w:r>
    </w:p>
    <w:p>
      <w:pPr>
        <w:keepNext w:val="0"/>
        <w:keepLines w:val="0"/>
        <w:pageBreakBefore w:val="0"/>
        <w:kinsoku/>
        <w:wordWrap/>
        <w:overflowPunct w:val="0"/>
        <w:topLinePunct w:val="0"/>
        <w:autoSpaceDE/>
        <w:autoSpaceDN/>
        <w:bidi w:val="0"/>
        <w:adjustRightInd/>
        <w:snapToGrid/>
        <w:spacing w:line="590" w:lineRule="exact"/>
        <w:ind w:left="0" w:leftChars="0" w:right="0" w:rightChars="0" w:firstLine="4908" w:firstLineChars="1534"/>
        <w:outlineLvl w:val="9"/>
        <w:rPr>
          <w:rFonts w:ascii="Times New Roman" w:hAnsi="Times New Roman" w:eastAsia="方正仿宋_GBK"/>
          <w:sz w:val="32"/>
          <w:szCs w:val="32"/>
          <w:lang w:bidi="ar"/>
        </w:rPr>
        <w:sectPr>
          <w:footerReference r:id="rId3" w:type="default"/>
          <w:pgSz w:w="11906" w:h="16838"/>
          <w:pgMar w:top="2041" w:right="1474" w:bottom="1304" w:left="1587" w:header="851" w:footer="992" w:gutter="0"/>
          <w:cols w:space="425" w:num="1"/>
          <w:docGrid w:type="lines" w:linePitch="312" w:charSpace="0"/>
        </w:sectPr>
      </w:pPr>
      <w:r>
        <w:rPr>
          <w:rFonts w:hint="eastAsia" w:ascii="Times New Roman" w:hAnsi="Times New Roman" w:eastAsia="方正仿宋_GBK"/>
          <w:sz w:val="32"/>
          <w:szCs w:val="32"/>
          <w:lang w:bidi="ar"/>
        </w:rPr>
        <w:t>2023年1月10日</w:t>
      </w:r>
    </w:p>
    <w:p>
      <w:pPr>
        <w:overflowPunct w:val="0"/>
        <w:spacing w:line="576" w:lineRule="exact"/>
        <w:rPr>
          <w:rFonts w:hint="eastAsia" w:ascii="Times New Roman" w:hAnsi="Times New Roman" w:eastAsia="方正小标宋_GBK"/>
          <w:sz w:val="32"/>
          <w:szCs w:val="32"/>
          <w:lang w:val="en-US" w:eastAsia="zh-CN" w:bidi="ar"/>
        </w:rPr>
      </w:pPr>
      <w:r>
        <w:rPr>
          <w:rFonts w:hint="eastAsia" w:ascii="Times New Roman" w:hAnsi="Times New Roman" w:eastAsia="方正小标宋_GBK" w:cs="Times New Roman"/>
          <w:sz w:val="32"/>
          <w:szCs w:val="32"/>
          <w:lang w:bidi="ar"/>
        </w:rPr>
        <w:t>附件</w:t>
      </w:r>
      <w:r>
        <w:rPr>
          <w:rFonts w:hint="eastAsia" w:ascii="Times New Roman" w:hAnsi="Times New Roman" w:eastAsia="方正小标宋_GBK" w:cs="Times New Roman"/>
          <w:sz w:val="32"/>
          <w:szCs w:val="32"/>
          <w:lang w:val="en-US" w:eastAsia="zh-CN" w:bidi="ar"/>
        </w:rPr>
        <w:t>1</w:t>
      </w:r>
    </w:p>
    <w:p>
      <w:pPr>
        <w:overflowPunct w:val="0"/>
        <w:spacing w:line="576" w:lineRule="exact"/>
        <w:ind w:firstLine="640" w:firstLineChars="200"/>
        <w:jc w:val="center"/>
        <w:rPr>
          <w:rFonts w:ascii="Times New Roman" w:hAnsi="Times New Roman" w:eastAsia="方正小标宋_GBK"/>
          <w:sz w:val="32"/>
          <w:szCs w:val="32"/>
          <w:lang w:bidi="ar"/>
        </w:rPr>
      </w:pPr>
      <w:r>
        <w:rPr>
          <w:rFonts w:ascii="Times New Roman" w:hAnsi="Times New Roman" w:eastAsia="方正小标宋_GBK" w:cs="Times New Roman"/>
          <w:sz w:val="32"/>
          <w:szCs w:val="32"/>
          <w:lang w:bidi="ar"/>
        </w:rPr>
        <w:t>下达2023年中央财政衔接推进乡村振兴补助资金表</w:t>
      </w:r>
    </w:p>
    <w:tbl>
      <w:tblPr>
        <w:tblStyle w:val="4"/>
        <w:tblW w:w="13860" w:type="dxa"/>
        <w:tblInd w:w="0" w:type="dxa"/>
        <w:tblLayout w:type="fixed"/>
        <w:tblCellMar>
          <w:top w:w="0" w:type="dxa"/>
          <w:left w:w="0" w:type="dxa"/>
          <w:bottom w:w="0" w:type="dxa"/>
          <w:right w:w="0" w:type="dxa"/>
        </w:tblCellMar>
      </w:tblPr>
      <w:tblGrid>
        <w:gridCol w:w="664"/>
        <w:gridCol w:w="1381"/>
        <w:gridCol w:w="851"/>
        <w:gridCol w:w="811"/>
        <w:gridCol w:w="811"/>
        <w:gridCol w:w="904"/>
        <w:gridCol w:w="810"/>
        <w:gridCol w:w="811"/>
        <w:gridCol w:w="797"/>
        <w:gridCol w:w="1122"/>
        <w:gridCol w:w="1170"/>
        <w:gridCol w:w="975"/>
        <w:gridCol w:w="720"/>
        <w:gridCol w:w="945"/>
        <w:gridCol w:w="1088"/>
      </w:tblGrid>
      <w:tr>
        <w:tblPrEx>
          <w:tblLayout w:type="fixed"/>
          <w:tblCellMar>
            <w:top w:w="0" w:type="dxa"/>
            <w:left w:w="0" w:type="dxa"/>
            <w:bottom w:w="0" w:type="dxa"/>
            <w:right w:w="0" w:type="dxa"/>
          </w:tblCellMar>
        </w:tblPrEx>
        <w:trPr>
          <w:trHeight w:val="307" w:hRule="atLeast"/>
        </w:trPr>
        <w:tc>
          <w:tcPr>
            <w:tcW w:w="664"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1381"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851"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904"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810"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811"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797"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1170"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975"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720"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945" w:type="dxa"/>
            <w:tcBorders>
              <w:top w:val="nil"/>
              <w:left w:val="nil"/>
              <w:bottom w:val="nil"/>
              <w:right w:val="nil"/>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1088"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单位：万元</w:t>
            </w:r>
          </w:p>
        </w:tc>
      </w:tr>
      <w:tr>
        <w:tblPrEx>
          <w:tblLayout w:type="fixed"/>
          <w:tblCellMar>
            <w:top w:w="0" w:type="dxa"/>
            <w:left w:w="0" w:type="dxa"/>
            <w:bottom w:w="0" w:type="dxa"/>
            <w:right w:w="0" w:type="dxa"/>
          </w:tblCellMar>
        </w:tblPrEx>
        <w:trPr>
          <w:trHeight w:val="315" w:hRule="atLeast"/>
        </w:trPr>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序号</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地区</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乡村振兴重点帮扶县</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总计</w:t>
            </w:r>
          </w:p>
        </w:tc>
        <w:tc>
          <w:tcPr>
            <w:tcW w:w="525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巩固拓展脱贫攻坚成果和乡村振兴任务</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少数民族发展任务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以工代赈任务</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欠发达国有农场巩固提升任务</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欠发达国有林场巩固提升任务</w:t>
            </w:r>
          </w:p>
        </w:tc>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备注</w:t>
            </w:r>
          </w:p>
        </w:tc>
      </w:tr>
      <w:tr>
        <w:tblPrEx>
          <w:tblLayout w:type="fixed"/>
          <w:tblCellMar>
            <w:top w:w="0" w:type="dxa"/>
            <w:left w:w="0" w:type="dxa"/>
            <w:bottom w:w="0" w:type="dxa"/>
            <w:right w:w="0" w:type="dxa"/>
          </w:tblCellMar>
        </w:tblPrEx>
        <w:trPr>
          <w:trHeight w:val="315"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8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小计</w:t>
            </w:r>
          </w:p>
        </w:tc>
        <w:tc>
          <w:tcPr>
            <w:tcW w:w="4444"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其中：</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r>
      <w:tr>
        <w:tblPrEx>
          <w:tblLayout w:type="fixed"/>
          <w:tblCellMar>
            <w:top w:w="0" w:type="dxa"/>
            <w:left w:w="0" w:type="dxa"/>
            <w:bottom w:w="0" w:type="dxa"/>
            <w:right w:w="0" w:type="dxa"/>
          </w:tblCellMar>
        </w:tblPrEx>
        <w:trPr>
          <w:trHeight w:val="1402" w:hRule="atLeast"/>
        </w:trPr>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绩效评价、巩固脱贫成果考核及支出进度奖励</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易地扶贫搬迁后续产业扶持因素</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b/>
                <w:color w:val="000000"/>
                <w:sz w:val="20"/>
                <w:szCs w:val="20"/>
              </w:rPr>
            </w:pPr>
            <w:r>
              <w:rPr>
                <w:rFonts w:ascii="Times New Roman" w:hAnsi="Times New Roman" w:eastAsia="方正仿宋_GBK" w:cs="Times New Roman"/>
                <w:b/>
                <w:color w:val="000000"/>
                <w:kern w:val="0"/>
                <w:sz w:val="20"/>
                <w:szCs w:val="20"/>
                <w:lang w:bidi="ar"/>
              </w:rPr>
              <w:t>易地扶贫搬迁贴息</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乡村建设示范村因素</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kern w:val="0"/>
                <w:sz w:val="20"/>
                <w:szCs w:val="20"/>
                <w:lang w:bidi="ar"/>
              </w:rPr>
              <w:t>乡村振兴“一县一业”示范县因素</w:t>
            </w: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0"/>
                <w:szCs w:val="20"/>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0"/>
                <w:szCs w:val="20"/>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 w:val="20"/>
                <w:szCs w:val="20"/>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b/>
                <w:color w:val="000000"/>
                <w:sz w:val="20"/>
                <w:szCs w:val="20"/>
              </w:rPr>
            </w:pPr>
          </w:p>
        </w:tc>
      </w:tr>
      <w:tr>
        <w:tblPrEx>
          <w:tblLayout w:type="fixed"/>
          <w:tblCellMar>
            <w:top w:w="0" w:type="dxa"/>
            <w:left w:w="0" w:type="dxa"/>
            <w:bottom w:w="0" w:type="dxa"/>
            <w:right w:w="0" w:type="dxa"/>
          </w:tblCellMar>
        </w:tblPrEx>
        <w:trPr>
          <w:trHeight w:val="315" w:hRule="atLeast"/>
        </w:trPr>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方正仿宋_GBK"/>
                <w:color w:val="000000"/>
                <w:sz w:val="20"/>
                <w:szCs w:val="20"/>
                <w:lang w:eastAsia="zh-CN"/>
              </w:rPr>
            </w:pPr>
            <w:r>
              <w:rPr>
                <w:rFonts w:hint="eastAsia" w:ascii="Times New Roman" w:hAnsi="Times New Roman" w:eastAsia="方正仿宋_GBK" w:cs="Times New Roman"/>
                <w:color w:val="000000"/>
                <w:kern w:val="0"/>
                <w:sz w:val="20"/>
                <w:szCs w:val="20"/>
                <w:lang w:val="en-US" w:eastAsia="zh-CN" w:bidi="ar"/>
              </w:rPr>
              <w:t>1</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通海县</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2485</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1735</w:t>
            </w:r>
          </w:p>
        </w:tc>
        <w:tc>
          <w:tcPr>
            <w:tcW w:w="9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652</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0</w:t>
            </w:r>
          </w:p>
        </w:tc>
        <w:tc>
          <w:tcPr>
            <w:tcW w:w="8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0</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670</w:t>
            </w:r>
          </w:p>
        </w:tc>
        <w:tc>
          <w:tcPr>
            <w:tcW w:w="11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0</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方正仿宋_GBK"/>
                <w:color w:val="000000"/>
                <w:sz w:val="20"/>
                <w:szCs w:val="20"/>
              </w:rPr>
            </w:pPr>
            <w:r>
              <w:rPr>
                <w:rFonts w:ascii="Times New Roman" w:hAnsi="Times New Roman" w:eastAsia="方正仿宋_GBK" w:cs="Times New Roman"/>
                <w:color w:val="000000"/>
                <w:kern w:val="0"/>
                <w:sz w:val="20"/>
                <w:szCs w:val="20"/>
                <w:lang w:bidi="ar"/>
              </w:rPr>
              <w:t>750</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c>
          <w:tcPr>
            <w:tcW w:w="10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方正仿宋_GBK"/>
                <w:color w:val="000000"/>
                <w:sz w:val="20"/>
                <w:szCs w:val="20"/>
              </w:rPr>
            </w:pPr>
          </w:p>
        </w:tc>
      </w:tr>
    </w:tbl>
    <w:p>
      <w:pPr>
        <w:spacing w:line="560" w:lineRule="exact"/>
        <w:rPr>
          <w:rFonts w:ascii="方正黑体_GBK" w:hAnsi="方正小标宋_GBK" w:eastAsia="方正黑体_GBK" w:cs="方正小标宋_GBK"/>
          <w:sz w:val="28"/>
          <w:szCs w:val="28"/>
        </w:rPr>
        <w:sectPr>
          <w:pgSz w:w="16838" w:h="11906" w:orient="landscape"/>
          <w:pgMar w:top="1474" w:right="2098" w:bottom="1134" w:left="1587" w:header="851" w:footer="992" w:gutter="0"/>
          <w:cols w:space="0" w:num="1"/>
          <w:docGrid w:type="lines" w:linePitch="320" w:charSpace="0"/>
        </w:sectPr>
      </w:pPr>
    </w:p>
    <w:p>
      <w:pPr>
        <w:overflowPunct w:val="0"/>
        <w:spacing w:line="576" w:lineRule="exact"/>
        <w:rPr>
          <w:rFonts w:hint="default" w:ascii="Times New Roman" w:hAnsi="Times New Roman" w:eastAsia="方正小标宋_GBK" w:cs="Times New Roman"/>
          <w:sz w:val="32"/>
          <w:szCs w:val="32"/>
          <w:lang w:val="en-US" w:eastAsia="zh-CN" w:bidi="ar"/>
        </w:rPr>
      </w:pPr>
      <w:r>
        <w:rPr>
          <w:rFonts w:hint="eastAsia" w:ascii="Times New Roman" w:hAnsi="Times New Roman" w:eastAsia="方正小标宋_GBK" w:cs="Times New Roman"/>
          <w:sz w:val="32"/>
          <w:szCs w:val="32"/>
          <w:lang w:eastAsia="zh-CN" w:bidi="ar"/>
        </w:rPr>
        <w:t>附件</w:t>
      </w:r>
      <w:r>
        <w:rPr>
          <w:rFonts w:hint="eastAsia" w:ascii="Times New Roman" w:hAnsi="Times New Roman" w:eastAsia="方正小标宋_GBK" w:cs="Times New Roman"/>
          <w:sz w:val="32"/>
          <w:szCs w:val="32"/>
          <w:lang w:val="en-US" w:eastAsia="zh-CN" w:bidi="ar"/>
        </w:rPr>
        <w:t>2</w:t>
      </w:r>
    </w:p>
    <w:p>
      <w:pPr>
        <w:spacing w:line="300" w:lineRule="exact"/>
        <w:jc w:val="left"/>
        <w:rPr>
          <w:rFonts w:ascii="Times New Roman" w:hAnsi="Times New Roman" w:eastAsia="仿宋_GB2312"/>
          <w:sz w:val="28"/>
          <w:szCs w:val="28"/>
        </w:rPr>
      </w:pPr>
    </w:p>
    <w:tbl>
      <w:tblPr>
        <w:tblStyle w:val="4"/>
        <w:tblW w:w="9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43"/>
        <w:gridCol w:w="1244"/>
        <w:gridCol w:w="1465"/>
        <w:gridCol w:w="1828"/>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92" w:hRule="atLeast"/>
        </w:trPr>
        <w:tc>
          <w:tcPr>
            <w:tcW w:w="9580" w:type="dxa"/>
            <w:gridSpan w:val="5"/>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小标宋_GBK" w:cs="Times New Roman"/>
                <w:sz w:val="32"/>
                <w:szCs w:val="32"/>
                <w:lang w:val="en-US" w:eastAsia="zh-CN" w:bidi="ar"/>
              </w:rPr>
            </w:pPr>
            <w:r>
              <w:rPr>
                <w:rFonts w:hint="eastAsia" w:ascii="Times New Roman" w:hAnsi="Times New Roman" w:eastAsia="方正小标宋_GBK" w:cs="Times New Roman"/>
                <w:sz w:val="32"/>
                <w:szCs w:val="32"/>
                <w:lang w:val="en-US" w:eastAsia="zh-CN" w:bidi="ar"/>
              </w:rPr>
              <w:t>通海县2023年中央财政衔接推进乡村振兴补助资金实施项目</w:t>
            </w:r>
          </w:p>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Times New Roman" w:hAnsi="Times New Roman" w:eastAsia="方正小标宋_GBK" w:cs="Times New Roman"/>
                <w:sz w:val="32"/>
                <w:szCs w:val="32"/>
                <w:lang w:val="en-US" w:eastAsia="zh-CN" w:bidi="ar"/>
              </w:rPr>
              <w:t>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项目名称</w:t>
            </w:r>
          </w:p>
        </w:tc>
        <w:tc>
          <w:tcPr>
            <w:tcW w:w="74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通海县2023年中央财政衔接推进乡村振兴补助资金实施项目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省级主管部门</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省财政厅</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省乡村振兴局、省民族宗教委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州（市）主管部门</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玉溪市财政局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玉溪市乡村振兴、民族宗教部门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9" w:hRule="atLeast"/>
        </w:trPr>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县级主管部门</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通海县财政局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通海县乡村振兴局、通海县民族宗教事务局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63"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年度总体目标</w:t>
            </w:r>
          </w:p>
        </w:tc>
        <w:tc>
          <w:tcPr>
            <w:tcW w:w="87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通过实施2023年中央财政衔接推进乡村振兴补助资金项目建设，实现巩固扩展脱贫攻坚成果同乡村振兴工作有效衔接；培育和壮大本地特色优势产业，加快构建完备的乡村产业体系、生产体系、经营体系；实现村集体经济壮大，增加收入；补齐必要的农村人居环境整治和小型公益性基础设施建设短板；提高脱贫人口自我发展能力和抵御风险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843"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绩效目标</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二级指标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三级指标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指标内容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产出指标</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数量指标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产业资金投入率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资金支出率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质量指标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项目资金公告公示率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完工项目验收合格率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时效指标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年内项目开工率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年内项目按时完工率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5"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效益指标</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经济效益指标</w:t>
            </w:r>
          </w:p>
        </w:tc>
        <w:tc>
          <w:tcPr>
            <w:tcW w:w="18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农村居民人均可支配收入增幅</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27"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0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社会效益指标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返贫、致贫风险人口监测覆盖率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返贫、致贫风险消除人口帮扶措施覆盖率</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2"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rPr>
            </w:pP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规模性返贫情况</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13" w:hRule="atLeast"/>
        </w:trPr>
        <w:tc>
          <w:tcPr>
            <w:tcW w:w="843"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方正仿宋_GBK" w:hAnsi="方正仿宋_GBK" w:eastAsia="方正仿宋_GBK" w:cs="方正仿宋_GBK"/>
                <w:i w:val="0"/>
                <w:color w:val="000000"/>
                <w:sz w:val="24"/>
                <w:szCs w:val="24"/>
                <w:u w:val="none"/>
              </w:rPr>
            </w:pP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满意度指标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服务对象满意度指标</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帮扶工作群众满意度</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&gt;=90%</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500" w:lineRule="exact"/>
        <w:ind w:left="1119" w:leftChars="133" w:hanging="840" w:hangingChars="3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1312;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w:t>
      </w:r>
      <w:r>
        <w:rPr>
          <w:rFonts w:hint="eastAsia" w:ascii="Times New Roman" w:hAnsi="Times New Roman" w:eastAsia="方正仿宋_GBK"/>
          <w:sz w:val="28"/>
          <w:szCs w:val="28"/>
        </w:rPr>
        <w:t>本局国库、预算股、乡村振兴局、民宗局</w:t>
      </w:r>
    </w:p>
    <w:p>
      <w:pPr>
        <w:spacing w:line="520" w:lineRule="exact"/>
        <w:ind w:firstLine="280" w:firstLineChars="100"/>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358140</wp:posOffset>
                </wp:positionV>
                <wp:extent cx="566801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0288;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22860</wp:posOffset>
                </wp:positionV>
                <wp:extent cx="566801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59264;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w:t>通海县</w:t>
      </w:r>
      <w:r>
        <w:rPr>
          <w:rFonts w:ascii="Times New Roman" w:hAnsi="Times New Roman" w:eastAsia="方正仿宋_GBK"/>
          <w:sz w:val="28"/>
          <w:szCs w:val="28"/>
        </w:rPr>
        <w:t xml:space="preserve">财政局办公室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2023</w:t>
      </w:r>
      <w:r>
        <w:rPr>
          <w:rFonts w:ascii="Times New Roman" w:hAnsi="Times New Roman" w:eastAsia="方正仿宋_GBK"/>
          <w:sz w:val="28"/>
          <w:szCs w:val="28"/>
        </w:rPr>
        <w:t>年</w:t>
      </w:r>
      <w:r>
        <w:rPr>
          <w:rFonts w:hint="eastAsia" w:ascii="Times New Roman" w:hAnsi="Times New Roman" w:eastAsia="方正仿宋_GBK"/>
          <w:sz w:val="28"/>
          <w:szCs w:val="28"/>
        </w:rPr>
        <w:t>1</w:t>
      </w:r>
      <w:r>
        <w:rPr>
          <w:rFonts w:ascii="Times New Roman" w:hAnsi="Times New Roman" w:eastAsia="方正仿宋_GBK"/>
          <w:sz w:val="28"/>
          <w:szCs w:val="28"/>
        </w:rPr>
        <w:t>月</w:t>
      </w:r>
      <w:r>
        <w:rPr>
          <w:rFonts w:hint="eastAsia" w:ascii="Times New Roman" w:hAnsi="Times New Roman" w:eastAsia="方正仿宋_GBK"/>
          <w:sz w:val="28"/>
          <w:szCs w:val="28"/>
        </w:rPr>
        <w:t>10</w:t>
      </w:r>
      <w:r>
        <w:rPr>
          <w:rFonts w:ascii="Times New Roman" w:hAnsi="Times New Roman" w:eastAsia="方正仿宋_GBK"/>
          <w:sz w:val="28"/>
          <w:szCs w:val="28"/>
        </w:rPr>
        <w:t>日印发</w:t>
      </w:r>
    </w:p>
    <w:p/>
    <w:sectPr>
      <w:footerReference r:id="rId4" w:type="default"/>
      <w:pgSz w:w="11906" w:h="16838"/>
      <w:pgMar w:top="2041" w:right="1474" w:bottom="1304" w:left="1587" w:header="851" w:footer="992" w:gutter="0"/>
      <w:cols w:space="0"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72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enforcement="1" w:cryptProviderType="rsaFull" w:cryptAlgorithmClass="hash" w:cryptAlgorithmType="typeAny" w:cryptAlgorithmSid="4" w:cryptSpinCount="0" w:hash="Ue+4dXBc8ycQ2WID5+6MlrYjiUc=" w:salt="/i2w/BEfVm7QCtR076Jcb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YTdmZDgwMWM4ZDBhNGFkYjFlZjY0MjgwYjViY2IifQ=="/>
  </w:docVars>
  <w:rsids>
    <w:rsidRoot w:val="00CC2801"/>
    <w:rsid w:val="006C514A"/>
    <w:rsid w:val="008F2EAC"/>
    <w:rsid w:val="00C25163"/>
    <w:rsid w:val="00CC2801"/>
    <w:rsid w:val="059C736E"/>
    <w:rsid w:val="3BAF6645"/>
    <w:rsid w:val="4F845CFB"/>
    <w:rsid w:val="61E672DA"/>
    <w:rsid w:val="6FE04CA3"/>
    <w:rsid w:val="741B75D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Char"/>
    <w:basedOn w:val="3"/>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9</Pages>
  <Words>1941</Words>
  <Characters>2096</Characters>
  <Lines>12</Lines>
  <Paragraphs>3</Paragraphs>
  <TotalTime>0</TotalTime>
  <ScaleCrop>false</ScaleCrop>
  <LinksUpToDate>false</LinksUpToDate>
  <CharactersWithSpaces>2165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2023-01-28T01:13:00Z</dcterms:created>
  <dc:creator>微软用户</dc:creator>
  <cp:lastModifiedBy>通海财政局</cp:lastModifiedBy>
  <dcterms:modified xsi:type="dcterms:W3CDTF">2023-02-14T08:22:49Z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ED41D30A86D74815898571797E8F357A</vt:lpwstr>
  </property>
  <property fmtid="{D5CDD505-2E9C-101B-9397-08002B2CF9AE}" pid="4" name="docranid">
    <vt:lpwstr>E9F4EB30336E4C54936DF71F10DD198E</vt:lpwstr>
  </property>
</Properties>
</file>