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bookmarkStart w:id="1" w:name="_GoBack"/>
      <w:bookmarkEnd w:id="1"/>
      <w:bookmarkStart w:id="0" w:name="Title"/>
    </w:p>
    <w:p>
      <w:pPr>
        <w:pStyle w:val="2"/>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澄财农</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仿宋_GBK" w:cs="Times New Roman"/>
          <w:spacing w:val="14"/>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澄江市财政局</w:t>
      </w:r>
      <w:r>
        <w:rPr>
          <w:rFonts w:hint="default" w:ascii="Times New Roman" w:hAnsi="Times New Roman" w:eastAsia="方正小标宋_GBK" w:cs="Times New Roman"/>
          <w:spacing w:val="14"/>
          <w:sz w:val="44"/>
          <w:szCs w:val="44"/>
          <w:lang w:val="en-US" w:eastAsia="zh-CN"/>
        </w:rPr>
        <w:t xml:space="preserve"> </w:t>
      </w:r>
      <w:r>
        <w:rPr>
          <w:rFonts w:hint="default" w:ascii="Times New Roman" w:hAnsi="Times New Roman" w:eastAsia="方正小标宋_GBK" w:cs="Times New Roman"/>
          <w:spacing w:val="14"/>
          <w:sz w:val="44"/>
          <w:szCs w:val="44"/>
          <w:lang w:eastAsia="zh-CN"/>
        </w:rPr>
        <w:t>澄江市农业农村局关于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下达202</w:t>
      </w:r>
      <w:r>
        <w:rPr>
          <w:rFonts w:hint="eastAsia" w:eastAsia="方正小标宋_GBK" w:cs="Times New Roman"/>
          <w:spacing w:val="14"/>
          <w:sz w:val="44"/>
          <w:szCs w:val="44"/>
          <w:lang w:val="en-US" w:eastAsia="zh-CN"/>
        </w:rPr>
        <w:t>3</w:t>
      </w:r>
      <w:r>
        <w:rPr>
          <w:rFonts w:hint="default" w:ascii="Times New Roman" w:hAnsi="Times New Roman" w:eastAsia="方正小标宋_GBK" w:cs="Times New Roman"/>
          <w:spacing w:val="14"/>
          <w:sz w:val="44"/>
          <w:szCs w:val="44"/>
          <w:lang w:eastAsia="zh-CN"/>
        </w:rPr>
        <w:t>年省级财政衔接推进乡村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振兴补助资金（</w:t>
      </w:r>
      <w:r>
        <w:rPr>
          <w:rFonts w:hint="eastAsia" w:eastAsia="方正小标宋_GBK" w:cs="Times New Roman"/>
          <w:spacing w:val="14"/>
          <w:sz w:val="44"/>
          <w:szCs w:val="44"/>
          <w:lang w:val="en-US" w:eastAsia="zh-CN"/>
        </w:rPr>
        <w:t>第一批</w:t>
      </w:r>
      <w:r>
        <w:rPr>
          <w:rFonts w:hint="default" w:ascii="Times New Roman" w:hAnsi="Times New Roman" w:eastAsia="方正小标宋_GBK" w:cs="Times New Roman"/>
          <w:spacing w:val="14"/>
          <w:sz w:val="44"/>
          <w:szCs w:val="44"/>
          <w:lang w:eastAsia="zh-CN"/>
        </w:rPr>
        <w:t>）的</w:t>
      </w:r>
      <w:bookmarkEnd w:id="0"/>
      <w:r>
        <w:rPr>
          <w:rFonts w:hint="default" w:ascii="Times New Roman" w:hAnsi="Times New Roman" w:eastAsia="方正小标宋_GBK" w:cs="Times New Roman"/>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澄江市农业农村局</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澄江市人民政府龙街街道办事处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财政所：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为保证我市202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年省级财政衔接推进乡村振兴补助资金（巩固拓展脱贫攻坚成果和乡村振兴任务）项目建设的顺利进行，根据《玉溪市财政局关于下达2023年省级财政衔接推进乡村振兴补助资金的通知》（玉财农〔202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号）文件精神，结合《澄江市人民政府关于澄江市龙街街道左所社区2023年中央财政衔接推进乡村振兴—燕窝四组村内道路硬化项目实施方案的批复》（澄政复〔202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〕21号）</w:t>
      </w:r>
      <w:r>
        <w:rPr>
          <w:rFonts w:hint="eastAsia" w:eastAsia="方正仿宋_GBK" w:cs="Times New Roman"/>
          <w:sz w:val="32"/>
          <w:szCs w:val="32"/>
          <w:lang w:val="en-US" w:eastAsia="zh-CN"/>
        </w:rPr>
        <w:t>、《澄江市人民政府关于澄江市2023年中高等职业学校脱贫家庭经济困难学生生活补助项目实施方案的批复》</w:t>
      </w:r>
      <w:r>
        <w:rPr>
          <w:rFonts w:hint="default" w:ascii="Times New Roman" w:hAnsi="Times New Roman" w:eastAsia="方正仿宋_GBK" w:cs="Times New Roman"/>
          <w:sz w:val="32"/>
          <w:szCs w:val="32"/>
          <w:highlight w:val="none"/>
          <w:lang w:val="en-US" w:eastAsia="zh-CN"/>
        </w:rPr>
        <w:t>（澄政复〔202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34</w:t>
      </w:r>
      <w:r>
        <w:rPr>
          <w:rFonts w:hint="default" w:ascii="Times New Roman" w:hAnsi="Times New Roman" w:eastAsia="方正仿宋_GBK" w:cs="Times New Roman"/>
          <w:sz w:val="32"/>
          <w:szCs w:val="32"/>
          <w:highlight w:val="none"/>
          <w:lang w:val="en-US" w:eastAsia="zh-CN"/>
        </w:rPr>
        <w:t>号）</w:t>
      </w:r>
      <w:r>
        <w:rPr>
          <w:rFonts w:hint="eastAsia" w:eastAsia="方正仿宋_GBK" w:cs="Times New Roman"/>
          <w:sz w:val="32"/>
          <w:szCs w:val="32"/>
          <w:highlight w:val="none"/>
          <w:lang w:val="en-US" w:eastAsia="zh-CN"/>
        </w:rPr>
        <w:t>2个</w:t>
      </w:r>
      <w:r>
        <w:rPr>
          <w:rFonts w:hint="default" w:ascii="Times New Roman" w:hAnsi="Times New Roman" w:eastAsia="方正仿宋_GBK" w:cs="Times New Roman"/>
          <w:sz w:val="32"/>
          <w:szCs w:val="32"/>
          <w:lang w:val="en-US" w:eastAsia="zh-CN"/>
        </w:rPr>
        <w:t>项目批复，现将202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年省级财政衔接推进乡村振兴补助资金</w:t>
      </w:r>
      <w:r>
        <w:rPr>
          <w:rFonts w:hint="eastAsia" w:eastAsia="方正仿宋_GBK" w:cs="Times New Roman"/>
          <w:sz w:val="32"/>
          <w:szCs w:val="32"/>
          <w:lang w:val="en-US" w:eastAsia="zh-CN"/>
        </w:rPr>
        <w:t>143</w:t>
      </w:r>
      <w:r>
        <w:rPr>
          <w:rFonts w:hint="default" w:ascii="Times New Roman" w:hAnsi="Times New Roman" w:eastAsia="方正仿宋_GBK" w:cs="Times New Roman"/>
          <w:sz w:val="32"/>
          <w:szCs w:val="32"/>
          <w:lang w:val="en-US" w:eastAsia="zh-CN"/>
        </w:rPr>
        <w:t>万元下达给你们（详见附</w:t>
      </w:r>
      <w:r>
        <w:rPr>
          <w:rFonts w:hint="eastAsia" w:eastAsia="方正仿宋_GBK" w:cs="Times New Roman"/>
          <w:sz w:val="32"/>
          <w:szCs w:val="32"/>
          <w:lang w:val="en-US" w:eastAsia="zh-CN"/>
        </w:rPr>
        <w:t>件</w:t>
      </w:r>
      <w:r>
        <w:rPr>
          <w:rFonts w:hint="default" w:ascii="Times New Roman" w:hAnsi="Times New Roman" w:eastAsia="方正仿宋_GBK" w:cs="Times New Roman"/>
          <w:sz w:val="32"/>
          <w:szCs w:val="32"/>
          <w:lang w:val="en-US" w:eastAsia="zh-CN"/>
        </w:rPr>
        <w:t>1），并就相关事项通知如下：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w:t>
      </w:r>
      <w:r>
        <w:rPr>
          <w:rFonts w:hint="eastAsia" w:eastAsia="方正仿宋_GBK" w:cs="Times New Roman"/>
          <w:sz w:val="32"/>
          <w:szCs w:val="32"/>
          <w:lang w:val="en-US" w:eastAsia="zh-CN"/>
        </w:rPr>
        <w:t>农业农村局、龙街街道</w:t>
      </w:r>
      <w:r>
        <w:rPr>
          <w:rFonts w:hint="default" w:ascii="Times New Roman" w:hAnsi="Times New Roman" w:eastAsia="方正仿宋_GBK" w:cs="Times New Roman"/>
          <w:sz w:val="32"/>
          <w:szCs w:val="32"/>
          <w:lang w:val="en-US" w:eastAsia="zh-CN"/>
        </w:rPr>
        <w:t>按照项目实施方案精准使用资金。资金使用紧紧围绕市委、市政府确定的202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年我市巩固拓展脱贫攻坚成果目标任务，巩固脱贫攻坚成果、防止返贫致贫、建立农村低收入人口和欠发达地区监测帮扶机制，实现巩固拓展脱贫攻坚成果同乡村振兴有效衔接，着力提升资金使用绩效，确保202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年巩固拓展脱贫攻坚成果和乡村振兴有效衔接目标任务圆满完成。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农业农村局、龙街街道</w:t>
      </w:r>
      <w:r>
        <w:rPr>
          <w:rFonts w:hint="default" w:ascii="Times New Roman" w:hAnsi="Times New Roman" w:eastAsia="方正仿宋_GBK" w:cs="Times New Roman"/>
          <w:sz w:val="32"/>
          <w:szCs w:val="32"/>
          <w:lang w:val="en-US" w:eastAsia="zh-CN"/>
        </w:rPr>
        <w:t>要以目标为导向，加强项目及资金的执行力度，项目批复后尽快组织开工建设，确保各项建设任务如期完成。资金拨付严格按照《云南省财政衔接推进乡村振兴补助资金管理办法》（云财农〔2021〕140号）执行。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eastAsia="方正仿宋_GBK" w:cs="Times New Roman"/>
          <w:sz w:val="32"/>
          <w:szCs w:val="32"/>
          <w:lang w:val="en-US" w:eastAsia="zh-CN"/>
        </w:rPr>
        <w:t>农业农村局、龙街街道</w:t>
      </w:r>
      <w:r>
        <w:rPr>
          <w:rFonts w:hint="default" w:ascii="Times New Roman" w:hAnsi="Times New Roman" w:eastAsia="方正仿宋_GBK" w:cs="Times New Roman"/>
          <w:sz w:val="32"/>
          <w:szCs w:val="32"/>
          <w:lang w:val="en-US" w:eastAsia="zh-CN"/>
        </w:rPr>
        <w:t>要根据要求，及时对项目建设内容及资金使用计划等信息进行公示、公开，项目建成经镇、街道验收后，对项目建设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（二）需认真贯彻落实党中央、国务院关于“巩固拓展脱贫攻坚成果同乡村振兴有效衔接”有关精神，切实管好用好资金，充分发挥资金使用效益。</w:t>
      </w: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90" w:lineRule="exact"/>
        <w:ind w:left="1920" w:leftChars="200" w:right="0" w:rightChars="0" w:hanging="1280" w:hangingChars="4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1.澄江市</w:t>
      </w: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年省级财政衔接推进乡村振兴补助</w:t>
      </w:r>
    </w:p>
    <w:p>
      <w:pPr>
        <w:keepNext w:val="0"/>
        <w:keepLines w:val="0"/>
        <w:pageBreakBefore w:val="0"/>
        <w:widowControl w:val="0"/>
        <w:kinsoku/>
        <w:wordWrap/>
        <w:overflowPunct/>
        <w:topLinePunct w:val="0"/>
        <w:autoSpaceDE/>
        <w:autoSpaceDN/>
        <w:bidi w:val="0"/>
        <w:spacing w:line="590" w:lineRule="exact"/>
        <w:ind w:left="1920" w:leftChars="60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资金分配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right="0" w:rightChars="0" w:hanging="320" w:hangingChars="1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澄江市</w:t>
      </w: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年省级财政衔接推进乡村振兴</w:t>
      </w:r>
      <w:r>
        <w:rPr>
          <w:rFonts w:hint="default" w:ascii="Times New Roman" w:hAnsi="Times New Roman" w:eastAsia="方正仿宋_GBK" w:cs="Times New Roman"/>
          <w:sz w:val="32"/>
          <w:szCs w:val="32"/>
          <w:lang w:val="en-US" w:eastAsia="zh-CN"/>
        </w:rPr>
        <w:t>建设项目绩效目标表</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32"/>
          <w:szCs w:val="32"/>
          <w:lang w:val="en-US" w:eastAsia="zh-CN" w:bidi="ar-SA"/>
        </w:rPr>
        <w:t xml:space="preserve">    澄江市财政局           澄江市农业农村局</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月1</w:t>
      </w:r>
      <w:r>
        <w:rPr>
          <w:rFonts w:hint="eastAsia"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日</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方正小标宋_GBK" w:hAnsi="方正小标宋_GBK" w:eastAsia="方正小标宋_GBK" w:cs="方正小标宋_GBK"/>
          <w:color w:val="282828"/>
          <w:sz w:val="36"/>
          <w:szCs w:val="36"/>
          <w:lang w:val="en-US" w:eastAsia="zh-CN"/>
        </w:rPr>
      </w:pPr>
      <w:r>
        <w:rPr>
          <w:rFonts w:hint="default" w:ascii="方正小标宋_GBK" w:hAnsi="方正小标宋_GBK" w:eastAsia="方正小标宋_GBK" w:cs="方正小标宋_GBK"/>
          <w:color w:val="282828"/>
          <w:sz w:val="36"/>
          <w:szCs w:val="36"/>
          <w:lang w:val="en-US" w:eastAsia="zh-CN"/>
        </w:rPr>
        <w:t>澄江市202</w:t>
      </w:r>
      <w:r>
        <w:rPr>
          <w:rFonts w:hint="eastAsia" w:ascii="方正小标宋_GBK" w:hAnsi="方正小标宋_GBK" w:eastAsia="方正小标宋_GBK" w:cs="方正小标宋_GBK"/>
          <w:color w:val="282828"/>
          <w:sz w:val="36"/>
          <w:szCs w:val="36"/>
          <w:lang w:val="en-US" w:eastAsia="zh-CN"/>
        </w:rPr>
        <w:t>3</w:t>
      </w:r>
      <w:r>
        <w:rPr>
          <w:rFonts w:hint="default" w:ascii="方正小标宋_GBK" w:hAnsi="方正小标宋_GBK" w:eastAsia="方正小标宋_GBK" w:cs="方正小标宋_GBK"/>
          <w:color w:val="282828"/>
          <w:sz w:val="36"/>
          <w:szCs w:val="36"/>
          <w:lang w:val="en-US" w:eastAsia="zh-CN"/>
        </w:rPr>
        <w:t>年省级财政衔接推进乡村振兴补助</w:t>
      </w:r>
      <w:r>
        <w:rPr>
          <w:rFonts w:hint="default" w:ascii="方正小标宋_GBK" w:hAnsi="方正小标宋_GBK" w:eastAsia="方正小标宋_GBK" w:cs="方正小标宋_GBK"/>
          <w:color w:val="282828"/>
          <w:sz w:val="36"/>
          <w:szCs w:val="36"/>
          <w:lang w:eastAsia="zh-CN"/>
        </w:rPr>
        <w:t>资金分配</w:t>
      </w:r>
      <w:r>
        <w:rPr>
          <w:rFonts w:hint="default" w:ascii="方正小标宋_GBK" w:hAnsi="方正小标宋_GBK" w:eastAsia="方正小标宋_GBK" w:cs="方正小标宋_GBK"/>
          <w:color w:val="282828"/>
          <w:sz w:val="36"/>
          <w:szCs w:val="36"/>
        </w:rPr>
        <w:t>表</w:t>
      </w:r>
      <w:r>
        <w:rPr>
          <w:rFonts w:hint="eastAsia" w:eastAsia="方正仿宋_GBK" w:cs="Times New Roman"/>
          <w:sz w:val="32"/>
          <w:szCs w:val="32"/>
          <w:lang w:val="en-US" w:eastAsia="zh-CN"/>
        </w:rPr>
        <w:t xml:space="preserve">   </w:t>
      </w:r>
      <w:r>
        <w:rPr>
          <w:rFonts w:hint="eastAsia" w:ascii="宋体" w:hAnsi="宋体" w:eastAsia="宋体" w:cs="宋体"/>
          <w:color w:val="282828"/>
          <w:sz w:val="52"/>
          <w:szCs w:val="52"/>
          <w:vertAlign w:val="subscript"/>
          <w:lang w:val="en-US" w:eastAsia="zh-CN"/>
        </w:rPr>
        <w:t>单位：万元</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
        <w:gridCol w:w="1422"/>
        <w:gridCol w:w="3523"/>
        <w:gridCol w:w="1541"/>
        <w:gridCol w:w="2175"/>
        <w:gridCol w:w="2419"/>
        <w:gridCol w:w="2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0" w:hRule="atLeast"/>
        </w:trPr>
        <w:tc>
          <w:tcPr>
            <w:tcW w:w="5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单位(街、镇)</w:t>
            </w:r>
          </w:p>
        </w:tc>
        <w:tc>
          <w:tcPr>
            <w:tcW w:w="3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541"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下达金额</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2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2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cs="Times New Roman" w:eastAsiaTheme="minorEastAsia"/>
                <w:b/>
                <w:bCs/>
                <w:i w:val="0"/>
                <w:iCs w:val="0"/>
                <w:color w:val="000000"/>
                <w:sz w:val="24"/>
                <w:szCs w:val="24"/>
                <w:u w:val="none"/>
                <w:lang w:val="en-US" w:eastAsia="zh-CN"/>
              </w:rPr>
              <w:t>143</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8"/>
                <w:rFonts w:hint="default" w:ascii="Times New Roman" w:hAnsi="Times New Roman" w:cs="Times New Roman" w:eastAsiaTheme="minorEastAsia"/>
                <w:lang w:val="en-US" w:eastAsia="zh-CN" w:bidi="ar"/>
              </w:rPr>
              <w:t>农业农村局</w:t>
            </w:r>
          </w:p>
        </w:tc>
        <w:tc>
          <w:tcPr>
            <w:tcW w:w="3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cs="Times New Roman" w:eastAsiaTheme="minorEastAsia"/>
                <w:i w:val="0"/>
                <w:iCs w:val="0"/>
                <w:color w:val="000000"/>
                <w:kern w:val="0"/>
                <w:sz w:val="22"/>
                <w:szCs w:val="22"/>
                <w:u w:val="none"/>
                <w:lang w:val="en-US" w:eastAsia="zh-CN" w:bidi="ar"/>
              </w:rPr>
              <w:t>澄江市2023</w:t>
            </w:r>
            <w:r>
              <w:rPr>
                <w:rStyle w:val="9"/>
                <w:rFonts w:hint="default" w:ascii="Times New Roman" w:hAnsi="Times New Roman" w:cs="Times New Roman" w:eastAsiaTheme="minorEastAsia"/>
                <w:lang w:val="en-US" w:eastAsia="zh-CN" w:bidi="ar"/>
              </w:rPr>
              <w:t>年雨露计划</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cs="Times New Roman" w:eastAsiaTheme="minorEastAsia"/>
                <w:i w:val="0"/>
                <w:iCs w:val="0"/>
                <w:color w:val="000000"/>
                <w:kern w:val="0"/>
                <w:sz w:val="22"/>
                <w:szCs w:val="22"/>
                <w:u w:val="none"/>
                <w:lang w:val="en-US" w:eastAsia="zh-CN" w:bidi="ar"/>
              </w:rPr>
              <w:t>35.67</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color w:val="000000"/>
                <w:sz w:val="24"/>
                <w:szCs w:val="24"/>
                <w:u w:val="none"/>
                <w:lang w:val="en-US"/>
              </w:rPr>
            </w:pPr>
            <w:r>
              <w:rPr>
                <w:rFonts w:hint="default" w:ascii="Times New Roman" w:hAnsi="Times New Roman" w:cs="Times New Roman" w:eastAsiaTheme="minorEastAsia"/>
                <w:i w:val="0"/>
                <w:iCs w:val="0"/>
                <w:color w:val="000000"/>
                <w:kern w:val="0"/>
                <w:sz w:val="22"/>
                <w:szCs w:val="22"/>
                <w:u w:val="none"/>
                <w:lang w:val="en-US" w:eastAsia="zh-CN" w:bidi="ar"/>
              </w:rPr>
              <w:t>2130599</w:t>
            </w:r>
            <w:r>
              <w:rPr>
                <w:rStyle w:val="9"/>
                <w:rFonts w:hint="default" w:ascii="Times New Roman" w:hAnsi="Times New Roman" w:cs="Times New Roman" w:eastAsiaTheme="minorEastAsia"/>
                <w:lang w:val="en-US" w:eastAsia="zh-CN" w:bidi="ar"/>
              </w:rPr>
              <w:t>其他巩固脱贫衔接乡村振兴支出</w:t>
            </w:r>
          </w:p>
        </w:tc>
        <w:tc>
          <w:tcPr>
            <w:tcW w:w="2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24"/>
                <w:szCs w:val="24"/>
                <w:u w:val="none"/>
              </w:rPr>
            </w:pPr>
            <w:r>
              <w:rPr>
                <w:rFonts w:hint="eastAsia" w:ascii="Times New Roman" w:hAnsi="Times New Roman" w:cs="Times New Roman" w:eastAsiaTheme="minorEastAsia"/>
                <w:i w:val="0"/>
                <w:iCs w:val="0"/>
                <w:color w:val="000000"/>
                <w:kern w:val="0"/>
                <w:sz w:val="22"/>
                <w:szCs w:val="22"/>
                <w:u w:val="none"/>
                <w:lang w:val="en-US" w:eastAsia="zh-CN" w:bidi="ar"/>
              </w:rPr>
              <w:t>50205委托业务费</w:t>
            </w:r>
          </w:p>
        </w:tc>
        <w:tc>
          <w:tcPr>
            <w:tcW w:w="2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4"/>
                <w:szCs w:val="24"/>
                <w:u w:val="none"/>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9"/>
                <w:rFonts w:hint="default" w:ascii="Times New Roman" w:hAnsi="Times New Roman" w:cs="Times New Roman" w:eastAsiaTheme="minorEastAsia"/>
                <w:lang w:val="en-US" w:eastAsia="zh-CN" w:bidi="ar"/>
              </w:rPr>
              <w:t>〕</w:t>
            </w:r>
            <w:r>
              <w:rPr>
                <w:rFonts w:hint="default" w:ascii="Times New Roman" w:hAnsi="Times New Roman" w:cs="Times New Roman" w:eastAsiaTheme="minorEastAsia"/>
                <w:i w:val="0"/>
                <w:iCs w:val="0"/>
                <w:color w:val="000000"/>
                <w:kern w:val="0"/>
                <w:sz w:val="22"/>
                <w:szCs w:val="22"/>
                <w:u w:val="none"/>
                <w:lang w:val="en-US" w:eastAsia="zh-CN" w:bidi="ar"/>
              </w:rPr>
              <w:t>34</w:t>
            </w:r>
            <w:r>
              <w:rPr>
                <w:rStyle w:val="9"/>
                <w:rFonts w:hint="default" w:ascii="Times New Roman" w:hAnsi="Times New Roman" w:cs="Times New Roman" w:eastAsiaTheme="minorEastAsia"/>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Style w:val="8"/>
                <w:rFonts w:hint="default" w:ascii="Times New Roman" w:hAnsi="Times New Roman" w:cs="Times New Roman" w:eastAsiaTheme="minorEastAsia"/>
                <w:lang w:val="en-US" w:eastAsia="zh-CN" w:bidi="ar"/>
              </w:rPr>
              <w:t>龙街街道</w:t>
            </w:r>
          </w:p>
        </w:tc>
        <w:tc>
          <w:tcPr>
            <w:tcW w:w="3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龙街街道左所社区2023</w:t>
            </w:r>
            <w:r>
              <w:rPr>
                <w:rStyle w:val="9"/>
                <w:rFonts w:hint="default" w:ascii="Times New Roman" w:hAnsi="Times New Roman" w:cs="Times New Roman" w:eastAsiaTheme="minorEastAsia"/>
                <w:lang w:val="en-US" w:eastAsia="zh-CN" w:bidi="ar"/>
              </w:rPr>
              <w:t>年中央财政衔接推进乡村振兴</w:t>
            </w:r>
            <w:r>
              <w:rPr>
                <w:rFonts w:hint="default" w:ascii="Times New Roman" w:hAnsi="Times New Roman" w:cs="Times New Roman" w:eastAsiaTheme="minorEastAsia"/>
                <w:i w:val="0"/>
                <w:iCs w:val="0"/>
                <w:color w:val="000000"/>
                <w:kern w:val="0"/>
                <w:sz w:val="22"/>
                <w:szCs w:val="22"/>
                <w:u w:val="none"/>
                <w:lang w:val="en-US" w:eastAsia="zh-CN" w:bidi="ar"/>
              </w:rPr>
              <w:t>—</w:t>
            </w:r>
            <w:r>
              <w:rPr>
                <w:rStyle w:val="9"/>
                <w:rFonts w:hint="default" w:ascii="Times New Roman" w:hAnsi="Times New Roman" w:cs="Times New Roman" w:eastAsiaTheme="minorEastAsia"/>
                <w:lang w:val="en-US" w:eastAsia="zh-CN" w:bidi="ar"/>
              </w:rPr>
              <w:t>燕窝四组村内道路硬化项目</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cs="Times New Roman" w:eastAsiaTheme="minorEastAsia"/>
                <w:i w:val="0"/>
                <w:iCs w:val="0"/>
                <w:color w:val="000000"/>
                <w:kern w:val="0"/>
                <w:sz w:val="22"/>
                <w:szCs w:val="22"/>
                <w:u w:val="none"/>
                <w:lang w:val="en-US" w:eastAsia="zh-CN" w:bidi="ar"/>
              </w:rPr>
              <w:t>104.21</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2130504</w:t>
            </w:r>
            <w:r>
              <w:rPr>
                <w:rStyle w:val="9"/>
                <w:rFonts w:hint="default" w:ascii="Times New Roman" w:hAnsi="Times New Roman" w:cs="Times New Roman" w:eastAsiaTheme="minorEastAsia"/>
                <w:lang w:val="en-US" w:eastAsia="zh-CN" w:bidi="ar"/>
              </w:rPr>
              <w:t>农村基础设施建设</w:t>
            </w:r>
          </w:p>
        </w:tc>
        <w:tc>
          <w:tcPr>
            <w:tcW w:w="2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kern w:val="0"/>
                <w:sz w:val="24"/>
                <w:szCs w:val="24"/>
                <w:u w:val="none"/>
                <w:lang w:val="en-US" w:eastAsia="zh-CN" w:bidi="ar"/>
              </w:rPr>
            </w:pPr>
            <w:r>
              <w:rPr>
                <w:rFonts w:hint="eastAsia" w:ascii="Times New Roman" w:hAnsi="Times New Roman" w:cs="Times New Roman" w:eastAsiaTheme="minorEastAsia"/>
                <w:i w:val="0"/>
                <w:iCs w:val="0"/>
                <w:color w:val="000000"/>
                <w:kern w:val="0"/>
                <w:sz w:val="22"/>
                <w:szCs w:val="22"/>
                <w:u w:val="none"/>
                <w:lang w:val="en-US" w:eastAsia="zh-CN" w:bidi="ar"/>
              </w:rPr>
              <w:t>50402基础设施建设</w:t>
            </w:r>
          </w:p>
        </w:tc>
        <w:tc>
          <w:tcPr>
            <w:tcW w:w="2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9"/>
                <w:rFonts w:hint="default" w:ascii="Times New Roman" w:hAnsi="Times New Roman" w:cs="Times New Roman" w:eastAsiaTheme="minorEastAsia"/>
                <w:lang w:val="en-US" w:eastAsia="zh-CN" w:bidi="ar"/>
              </w:rPr>
              <w:t>〕</w:t>
            </w:r>
            <w:r>
              <w:rPr>
                <w:rFonts w:hint="default" w:ascii="Times New Roman" w:hAnsi="Times New Roman" w:cs="Times New Roman" w:eastAsiaTheme="minorEastAsia"/>
                <w:i w:val="0"/>
                <w:iCs w:val="0"/>
                <w:color w:val="000000"/>
                <w:kern w:val="0"/>
                <w:sz w:val="22"/>
                <w:szCs w:val="22"/>
                <w:u w:val="none"/>
                <w:lang w:val="en-US" w:eastAsia="zh-CN" w:bidi="ar"/>
              </w:rPr>
              <w:t>21</w:t>
            </w:r>
            <w:r>
              <w:rPr>
                <w:rStyle w:val="9"/>
                <w:rFonts w:hint="default" w:ascii="Times New Roman" w:hAnsi="Times New Roman" w:cs="Times New Roman" w:eastAsiaTheme="minorEastAsia"/>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Style w:val="8"/>
                <w:rFonts w:hint="default" w:ascii="Times New Roman" w:hAnsi="Times New Roman" w:cs="Times New Roman" w:eastAsiaTheme="minorEastAsia"/>
                <w:lang w:val="en-US" w:eastAsia="zh-CN" w:bidi="ar"/>
              </w:rPr>
              <w:t>龙街街道</w:t>
            </w:r>
          </w:p>
        </w:tc>
        <w:tc>
          <w:tcPr>
            <w:tcW w:w="3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项目管理费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cs="Times New Roman" w:eastAsiaTheme="minorEastAsia"/>
                <w:i w:val="0"/>
                <w:iCs w:val="0"/>
                <w:color w:val="000000"/>
                <w:kern w:val="0"/>
                <w:sz w:val="22"/>
                <w:szCs w:val="22"/>
                <w:u w:val="none"/>
                <w:lang w:val="en-US" w:eastAsia="zh-CN" w:bidi="ar"/>
              </w:rPr>
              <w:t>3.12</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2130599其他巩固脱贫衔接乡村振兴支出</w:t>
            </w:r>
          </w:p>
        </w:tc>
        <w:tc>
          <w:tcPr>
            <w:tcW w:w="2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Times New Roman" w:hAnsi="Times New Roman" w:cs="Times New Roman" w:eastAsiaTheme="minorEastAsia"/>
                <w:i w:val="0"/>
                <w:iCs w:val="0"/>
                <w:color w:val="000000"/>
                <w:kern w:val="0"/>
                <w:sz w:val="22"/>
                <w:szCs w:val="22"/>
                <w:u w:val="none"/>
                <w:lang w:val="en-US" w:eastAsia="zh-CN" w:bidi="ar"/>
              </w:rPr>
              <w:t>50205委托业务费</w:t>
            </w:r>
          </w:p>
        </w:tc>
        <w:tc>
          <w:tcPr>
            <w:tcW w:w="2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2"/>
        <w:widowControl w:val="0"/>
        <w:numPr>
          <w:ilvl w:val="0"/>
          <w:numId w:val="0"/>
        </w:numPr>
        <w:spacing w:afterAutospacing="0"/>
        <w:ind w:firstLine="1920" w:firstLineChars="600"/>
        <w:jc w:val="both"/>
        <w:rPr>
          <w:rFonts w:hint="default" w:ascii="Times New Roman" w:hAnsi="Times New Roman" w:eastAsia="方正仿宋_GBK" w:cs="Times New Roman"/>
          <w:kern w:val="2"/>
          <w:sz w:val="32"/>
          <w:szCs w:val="32"/>
          <w:lang w:val="en-US" w:eastAsia="zh-CN" w:bidi="ar-SA"/>
        </w:rPr>
      </w:pPr>
    </w:p>
    <w:p>
      <w:pPr>
        <w:pStyle w:val="2"/>
        <w:widowControl w:val="0"/>
        <w:numPr>
          <w:ilvl w:val="0"/>
          <w:numId w:val="0"/>
        </w:numPr>
        <w:spacing w:afterAutospacing="0"/>
        <w:ind w:firstLine="1920" w:firstLineChars="600"/>
        <w:jc w:val="both"/>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sectPr>
          <w:pgSz w:w="16838" w:h="11906" w:orient="landscape"/>
          <w:pgMar w:top="1803" w:right="1440" w:bottom="1803" w:left="1440" w:header="851" w:footer="992" w:gutter="0"/>
          <w:pgNumType w:fmt="decimal"/>
          <w:cols w:space="0" w:num="1"/>
          <w:rtlGutter w:val="0"/>
          <w:docGrid w:type="lines" w:linePitch="436" w:charSpace="0"/>
        </w:sectPr>
      </w:pPr>
    </w:p>
    <w:p>
      <w:pPr>
        <w:rPr>
          <w:rFonts w:hint="default" w:ascii="方正小标宋_GBK" w:hAnsi="方正小标宋_GBK" w:eastAsia="方正黑体_GBK" w:cs="方正小标宋_GBK"/>
          <w:spacing w:val="-20"/>
          <w:sz w:val="36"/>
          <w:szCs w:val="36"/>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2-1</w:t>
      </w: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澄江市2023年省级财政衔接推进乡村振兴补助资金</w:t>
      </w:r>
    </w:p>
    <w:p>
      <w:pPr>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lang w:val="en-US" w:eastAsia="zh-CN"/>
        </w:rPr>
        <w:t>农村基础设施建设项目绩效目标表</w:t>
      </w:r>
    </w:p>
    <w:tbl>
      <w:tblPr>
        <w:tblStyle w:val="5"/>
        <w:tblW w:w="9060" w:type="dxa"/>
        <w:tblInd w:w="0" w:type="dxa"/>
        <w:tblLayout w:type="fixed"/>
        <w:tblCellMar>
          <w:top w:w="15" w:type="dxa"/>
          <w:left w:w="15" w:type="dxa"/>
          <w:bottom w:w="15" w:type="dxa"/>
          <w:right w:w="15" w:type="dxa"/>
        </w:tblCellMar>
      </w:tblPr>
      <w:tblGrid>
        <w:gridCol w:w="1002"/>
        <w:gridCol w:w="1002"/>
        <w:gridCol w:w="1720"/>
        <w:gridCol w:w="2101"/>
        <w:gridCol w:w="1316"/>
        <w:gridCol w:w="1919"/>
      </w:tblGrid>
      <w:tr>
        <w:tblPrEx>
          <w:tblLayout w:type="fixed"/>
          <w:tblCellMar>
            <w:top w:w="15" w:type="dxa"/>
            <w:left w:w="15" w:type="dxa"/>
            <w:bottom w:w="15" w:type="dxa"/>
            <w:right w:w="15" w:type="dxa"/>
          </w:tblCellMar>
        </w:tblPrEx>
        <w:trPr>
          <w:trHeight w:val="848"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澄江市2023年省级财政衔接推进乡村振兴补助资金农村基础设施建设项目</w:t>
            </w:r>
          </w:p>
        </w:tc>
      </w:tr>
      <w:tr>
        <w:tblPrEx>
          <w:tblLayout w:type="fixed"/>
          <w:tblCellMar>
            <w:top w:w="15" w:type="dxa"/>
            <w:left w:w="15" w:type="dxa"/>
            <w:bottom w:w="15" w:type="dxa"/>
            <w:right w:w="15" w:type="dxa"/>
          </w:tblCellMar>
        </w:tblPrEx>
        <w:trPr>
          <w:trHeight w:val="80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市级财政主管部门</w:t>
            </w: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玉溪市财政局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市级主管部门</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玉溪市乡村振兴局</w:t>
            </w:r>
          </w:p>
        </w:tc>
      </w:tr>
      <w:tr>
        <w:tblPrEx>
          <w:tblLayout w:type="fixed"/>
          <w:tblCellMar>
            <w:top w:w="15" w:type="dxa"/>
            <w:left w:w="15" w:type="dxa"/>
            <w:bottom w:w="15" w:type="dxa"/>
            <w:right w:w="15" w:type="dxa"/>
          </w:tblCellMar>
        </w:tblPrEx>
        <w:trPr>
          <w:trHeight w:val="802"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澄江</w:t>
            </w: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142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完成财政衔接推进乡村振兴补助资金</w:t>
            </w:r>
            <w:r>
              <w:rPr>
                <w:rFonts w:hint="eastAsia" w:ascii="宋体" w:hAnsi="宋体" w:eastAsia="宋体" w:cs="宋体"/>
                <w:color w:val="auto"/>
                <w:sz w:val="20"/>
                <w:szCs w:val="20"/>
                <w:lang w:val="en-US" w:eastAsia="zh-CN"/>
              </w:rPr>
              <w:t>农村基础设施建设</w:t>
            </w:r>
            <w:r>
              <w:rPr>
                <w:rFonts w:hint="eastAsia" w:ascii="宋体" w:hAnsi="宋体" w:eastAsia="宋体" w:cs="宋体"/>
                <w:color w:val="auto"/>
                <w:sz w:val="20"/>
                <w:szCs w:val="20"/>
                <w:lang w:eastAsia="zh-CN"/>
              </w:rPr>
              <w:t>项目</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个，进一步改善项目点群众的生产生活条件，巩固提升</w:t>
            </w:r>
            <w:r>
              <w:rPr>
                <w:rFonts w:hint="eastAsia" w:ascii="宋体" w:hAnsi="宋体" w:eastAsia="宋体" w:cs="宋体"/>
                <w:color w:val="auto"/>
                <w:sz w:val="20"/>
                <w:szCs w:val="20"/>
                <w:lang w:val="en-US" w:eastAsia="zh-CN"/>
              </w:rPr>
              <w:t>40</w:t>
            </w:r>
            <w:r>
              <w:rPr>
                <w:rFonts w:hint="eastAsia" w:ascii="宋体" w:hAnsi="宋体" w:eastAsia="宋体" w:cs="宋体"/>
                <w:color w:val="auto"/>
                <w:sz w:val="20"/>
                <w:szCs w:val="20"/>
                <w:lang w:eastAsia="zh-CN"/>
              </w:rPr>
              <w:t>人已脱贫贫困人口的脱贫质量，防止返贫情况</w:t>
            </w:r>
            <w:r>
              <w:rPr>
                <w:rFonts w:hint="eastAsia" w:ascii="宋体" w:hAnsi="宋体" w:eastAsia="宋体" w:cs="宋体"/>
                <w:color w:val="auto"/>
                <w:sz w:val="20"/>
                <w:szCs w:val="20"/>
                <w:lang w:val="en-US" w:eastAsia="zh-CN"/>
              </w:rPr>
              <w:t>现</w:t>
            </w:r>
            <w:r>
              <w:rPr>
                <w:rFonts w:hint="eastAsia" w:ascii="宋体" w:hAnsi="宋体" w:eastAsia="宋体" w:cs="宋体"/>
                <w:color w:val="auto"/>
                <w:sz w:val="20"/>
                <w:szCs w:val="20"/>
                <w:lang w:eastAsia="zh-CN"/>
              </w:rPr>
              <w:t>象的发生</w:t>
            </w:r>
            <w:r>
              <w:rPr>
                <w:rFonts w:hint="eastAsia" w:ascii="宋体" w:hAnsi="宋体" w:eastAsia="宋体" w:cs="宋体"/>
                <w:i w:val="0"/>
                <w:color w:val="auto"/>
                <w:kern w:val="0"/>
                <w:sz w:val="20"/>
                <w:szCs w:val="20"/>
                <w:u w:val="none"/>
                <w:lang w:val="en-US" w:eastAsia="zh-CN" w:bidi="ar"/>
              </w:rPr>
              <w:t>。</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一级指标</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二级指标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三级指标</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产出指标</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数量指标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完成建设项目个数（个）</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r>
      <w:tr>
        <w:tblPrEx>
          <w:tblLayout w:type="fixed"/>
          <w:tblCellMar>
            <w:top w:w="15" w:type="dxa"/>
            <w:left w:w="15" w:type="dxa"/>
            <w:bottom w:w="15" w:type="dxa"/>
            <w:right w:w="15" w:type="dxa"/>
          </w:tblCellMar>
        </w:tblPrEx>
        <w:trPr>
          <w:trHeight w:val="89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成本指标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财政资金投入（万元）</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lang w:val="en-US" w:eastAsia="zh-CN"/>
              </w:rPr>
              <w:t>104.21</w:t>
            </w:r>
          </w:p>
        </w:tc>
      </w:tr>
      <w:tr>
        <w:tblPrEx>
          <w:tblLayout w:type="fixed"/>
          <w:tblCellMar>
            <w:top w:w="15" w:type="dxa"/>
            <w:left w:w="15" w:type="dxa"/>
            <w:bottom w:w="15" w:type="dxa"/>
            <w:right w:w="15" w:type="dxa"/>
          </w:tblCellMar>
        </w:tblPrEx>
        <w:trPr>
          <w:trHeight w:val="835" w:hRule="atLeast"/>
        </w:trPr>
        <w:tc>
          <w:tcPr>
            <w:tcW w:w="10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时效指标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工程建设工期（月）</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r>
      <w:tr>
        <w:tblPrEx>
          <w:tblLayout w:type="fixed"/>
          <w:tblCellMar>
            <w:top w:w="15" w:type="dxa"/>
            <w:left w:w="15" w:type="dxa"/>
            <w:bottom w:w="15" w:type="dxa"/>
            <w:right w:w="15" w:type="dxa"/>
          </w:tblCellMar>
        </w:tblPrEx>
        <w:trPr>
          <w:trHeight w:val="66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质量指标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工程质量合格率（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100%</w:t>
            </w:r>
          </w:p>
        </w:tc>
      </w:tr>
      <w:tr>
        <w:tblPrEx>
          <w:tblLayout w:type="fixed"/>
          <w:tblCellMar>
            <w:top w:w="15" w:type="dxa"/>
            <w:left w:w="15" w:type="dxa"/>
            <w:bottom w:w="15" w:type="dxa"/>
            <w:right w:w="15" w:type="dxa"/>
          </w:tblCellMar>
        </w:tblPrEx>
        <w:trPr>
          <w:trHeight w:val="683"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效益指标</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社会效益指标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已脱</w:t>
            </w:r>
            <w:r>
              <w:rPr>
                <w:rFonts w:hint="eastAsia" w:ascii="宋体" w:hAnsi="宋体" w:eastAsia="宋体" w:cs="宋体"/>
                <w:color w:val="auto"/>
                <w:sz w:val="20"/>
                <w:szCs w:val="20"/>
                <w:lang w:eastAsia="zh-CN"/>
              </w:rPr>
              <w:t>贫人口（人）</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r>
      <w:tr>
        <w:tblPrEx>
          <w:tblLayout w:type="fixed"/>
          <w:tblCellMar>
            <w:top w:w="15" w:type="dxa"/>
            <w:left w:w="15" w:type="dxa"/>
            <w:bottom w:w="15" w:type="dxa"/>
            <w:right w:w="15" w:type="dxa"/>
          </w:tblCellMar>
        </w:tblPrEx>
        <w:trPr>
          <w:trHeight w:val="90"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经济效益指标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人口年增收（元）</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可持续影响指标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工程使用年限（年）</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r>
      <w:tr>
        <w:tblPrEx>
          <w:tblLayout w:type="fixed"/>
          <w:tblCellMar>
            <w:top w:w="15" w:type="dxa"/>
            <w:left w:w="15" w:type="dxa"/>
            <w:bottom w:w="15" w:type="dxa"/>
            <w:right w:w="15" w:type="dxa"/>
          </w:tblCellMar>
        </w:tblPrEx>
        <w:trPr>
          <w:trHeight w:val="11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满意度指标</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服务对象满意度指标</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人口满意率（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≥96%</w:t>
            </w:r>
          </w:p>
        </w:tc>
      </w:tr>
    </w:tbl>
    <w:p>
      <w:pPr>
        <w:rPr>
          <w:rFonts w:hint="eastAsia" w:ascii="方正黑体_GBK" w:hAnsi="方正黑体_GBK" w:eastAsia="方正黑体_GBK" w:cs="方正黑体_GBK"/>
          <w:spacing w:val="-20"/>
          <w:sz w:val="24"/>
          <w:szCs w:val="24"/>
        </w:rPr>
      </w:pPr>
    </w:p>
    <w:p>
      <w:pPr>
        <w:rPr>
          <w:rFonts w:hint="default"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2-2</w:t>
      </w: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澄江市2023年省级财政衔接推进乡村振兴补助资金</w:t>
      </w:r>
    </w:p>
    <w:p>
      <w:pPr>
        <w:jc w:val="center"/>
        <w:rPr>
          <w:rFonts w:hint="default" w:ascii="方正仿宋_GBK" w:hAnsi="方正仿宋_GBK" w:eastAsia="方正仿宋_GBK" w:cs="方正仿宋_GBK"/>
          <w:color w:val="282828"/>
          <w:sz w:val="32"/>
          <w:szCs w:val="32"/>
          <w:vertAlign w:val="subscript"/>
          <w:lang w:val="en-US" w:eastAsia="zh-CN"/>
        </w:rPr>
      </w:pPr>
      <w:r>
        <w:rPr>
          <w:rFonts w:hint="eastAsia" w:ascii="方正小标宋_GBK" w:hAnsi="方正小标宋_GBK" w:eastAsia="方正小标宋_GBK" w:cs="方正小标宋_GBK"/>
          <w:spacing w:val="-20"/>
          <w:sz w:val="36"/>
          <w:szCs w:val="36"/>
          <w:lang w:val="en-US" w:eastAsia="zh-CN"/>
        </w:rPr>
        <w:t>雨露计划项目绩效目标表</w:t>
      </w:r>
    </w:p>
    <w:tbl>
      <w:tblPr>
        <w:tblStyle w:val="5"/>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5"/>
        <w:gridCol w:w="1965"/>
        <w:gridCol w:w="1481"/>
        <w:gridCol w:w="1300"/>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澄江市2023年度雨露计划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2460" w:type="dxa"/>
            <w:gridSpan w:val="2"/>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市级财政主管部门</w:t>
            </w:r>
          </w:p>
        </w:tc>
        <w:tc>
          <w:tcPr>
            <w:tcW w:w="3446" w:type="dxa"/>
            <w:gridSpan w:val="2"/>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300"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2460" w:type="dxa"/>
            <w:gridSpan w:val="2"/>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县级财政部门</w:t>
            </w:r>
          </w:p>
        </w:tc>
        <w:tc>
          <w:tcPr>
            <w:tcW w:w="3446" w:type="dxa"/>
            <w:gridSpan w:val="2"/>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澄江市财政局</w:t>
            </w:r>
          </w:p>
        </w:tc>
        <w:tc>
          <w:tcPr>
            <w:tcW w:w="1300"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4"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759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00" w:firstLineChars="200"/>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完成2023年春季学期已脱贫家庭中高职学生生活补助、2023年冬季学期已脱贫家庭中高职学生生活补助雨露计划项目，按2500元/生/学期的标准补助已脱贫家庭中高职学生，提高新成长已脱贫劳动力素质，切断贫困的代际传递，巩固拓展脱贫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完成项目个数（个）</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财政资金投入（万元）</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补助期限（学期）</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已脱贫家庭中高职学生覆盖率（%）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项目年限（年）</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受补助已脱贫家庭满意率（%）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98%</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rPr>
          <w:rFonts w:hint="default" w:ascii="方正小标宋_GBK" w:hAnsi="方正小标宋_GBK" w:eastAsia="方正小标宋_GBK" w:cs="方正小标宋_GBK"/>
          <w:spacing w:val="-20"/>
          <w:sz w:val="36"/>
          <w:szCs w:val="36"/>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2-3</w:t>
      </w:r>
    </w:p>
    <w:p>
      <w:pPr>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lang w:val="en-US" w:eastAsia="zh-CN"/>
        </w:rPr>
        <w:t>澄江市2023年项目管理费绩效目标表</w:t>
      </w:r>
    </w:p>
    <w:tbl>
      <w:tblPr>
        <w:tblStyle w:val="5"/>
        <w:tblW w:w="9060" w:type="dxa"/>
        <w:tblInd w:w="0" w:type="dxa"/>
        <w:tblLayout w:type="fixed"/>
        <w:tblCellMar>
          <w:top w:w="15" w:type="dxa"/>
          <w:left w:w="15" w:type="dxa"/>
          <w:bottom w:w="15" w:type="dxa"/>
          <w:right w:w="15" w:type="dxa"/>
        </w:tblCellMar>
      </w:tblPr>
      <w:tblGrid>
        <w:gridCol w:w="1002"/>
        <w:gridCol w:w="1002"/>
        <w:gridCol w:w="1543"/>
        <w:gridCol w:w="2312"/>
        <w:gridCol w:w="1282"/>
        <w:gridCol w:w="1919"/>
      </w:tblGrid>
      <w:tr>
        <w:tblPrEx>
          <w:tblLayout w:type="fixed"/>
          <w:tblCellMar>
            <w:top w:w="15" w:type="dxa"/>
            <w:left w:w="15" w:type="dxa"/>
            <w:bottom w:w="15" w:type="dxa"/>
            <w:right w:w="15" w:type="dxa"/>
          </w:tblCellMar>
        </w:tblPrEx>
        <w:trPr>
          <w:trHeight w:val="848"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项目管理费</w:t>
            </w:r>
          </w:p>
        </w:tc>
      </w:tr>
      <w:tr>
        <w:tblPrEx>
          <w:tblLayout w:type="fixed"/>
          <w:tblCellMar>
            <w:top w:w="15" w:type="dxa"/>
            <w:left w:w="15" w:type="dxa"/>
            <w:bottom w:w="15" w:type="dxa"/>
            <w:right w:w="15" w:type="dxa"/>
          </w:tblCellMar>
        </w:tblPrEx>
        <w:trPr>
          <w:trHeight w:val="80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市级财政主管部门</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玉溪市财政局</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市级主管部门</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玉溪市乡村振兴局</w:t>
            </w:r>
          </w:p>
        </w:tc>
      </w:tr>
      <w:tr>
        <w:tblPrEx>
          <w:tblLayout w:type="fixed"/>
          <w:tblCellMar>
            <w:top w:w="15" w:type="dxa"/>
            <w:left w:w="15" w:type="dxa"/>
            <w:bottom w:w="15" w:type="dxa"/>
            <w:right w:w="15" w:type="dxa"/>
          </w:tblCellMar>
        </w:tblPrEx>
        <w:trPr>
          <w:trHeight w:val="802"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澄江</w:t>
            </w: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142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计划安排项目管理费3.12万元，主要用于项目前期规划设计、评审评估、招标监理、检查验收、绩效评价以及资金监管等与项目管理相关的支出</w:t>
            </w:r>
            <w:r>
              <w:rPr>
                <w:rFonts w:hint="eastAsia" w:ascii="宋体" w:hAnsi="宋体" w:eastAsia="宋体" w:cs="宋体"/>
                <w:i w:val="0"/>
                <w:color w:val="auto"/>
                <w:kern w:val="0"/>
                <w:sz w:val="20"/>
                <w:szCs w:val="20"/>
                <w:u w:val="none"/>
                <w:lang w:val="en-US" w:eastAsia="zh-CN" w:bidi="ar"/>
              </w:rPr>
              <w:t>。</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一级指标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二级指标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三级指标</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产出指标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数量指标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配套</w:t>
            </w:r>
            <w:r>
              <w:rPr>
                <w:rFonts w:hint="eastAsia" w:ascii="宋体" w:hAnsi="宋体" w:eastAsia="宋体" w:cs="宋体"/>
                <w:color w:val="auto"/>
                <w:sz w:val="20"/>
                <w:szCs w:val="20"/>
                <w:lang w:eastAsia="zh-CN"/>
              </w:rPr>
              <w:t>建设项目个数（个）</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r>
      <w:tr>
        <w:tblPrEx>
          <w:tblLayout w:type="fixed"/>
          <w:tblCellMar>
            <w:top w:w="15" w:type="dxa"/>
            <w:left w:w="15" w:type="dxa"/>
            <w:bottom w:w="15" w:type="dxa"/>
            <w:right w:w="15" w:type="dxa"/>
          </w:tblCellMar>
        </w:tblPrEx>
        <w:trPr>
          <w:trHeight w:val="89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成本指标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财政资金投入（万元）</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3.12</w:t>
            </w:r>
          </w:p>
        </w:tc>
      </w:tr>
      <w:tr>
        <w:tblPrEx>
          <w:tblLayout w:type="fixed"/>
          <w:tblCellMar>
            <w:top w:w="15" w:type="dxa"/>
            <w:left w:w="15" w:type="dxa"/>
            <w:bottom w:w="15" w:type="dxa"/>
            <w:right w:w="15" w:type="dxa"/>
          </w:tblCellMar>
        </w:tblPrEx>
        <w:trPr>
          <w:trHeight w:val="835" w:hRule="atLeast"/>
        </w:trPr>
        <w:tc>
          <w:tcPr>
            <w:tcW w:w="10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时效指标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配套的</w:t>
            </w:r>
            <w:r>
              <w:rPr>
                <w:rFonts w:hint="eastAsia" w:ascii="宋体" w:hAnsi="宋体" w:eastAsia="宋体" w:cs="宋体"/>
                <w:color w:val="auto"/>
                <w:sz w:val="20"/>
                <w:szCs w:val="20"/>
                <w:lang w:eastAsia="zh-CN"/>
              </w:rPr>
              <w:t>工程建设工期（月）</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w:t>
            </w:r>
          </w:p>
        </w:tc>
      </w:tr>
      <w:tr>
        <w:tblPrEx>
          <w:tblLayout w:type="fixed"/>
          <w:tblCellMar>
            <w:top w:w="15" w:type="dxa"/>
            <w:left w:w="15" w:type="dxa"/>
            <w:bottom w:w="15" w:type="dxa"/>
            <w:right w:w="15" w:type="dxa"/>
          </w:tblCellMar>
        </w:tblPrEx>
        <w:trPr>
          <w:trHeight w:val="66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质量指标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资金公示公告</w:t>
            </w:r>
            <w:r>
              <w:rPr>
                <w:rFonts w:hint="eastAsia" w:ascii="宋体" w:hAnsi="宋体" w:eastAsia="宋体" w:cs="宋体"/>
                <w:color w:val="auto"/>
                <w:sz w:val="20"/>
                <w:szCs w:val="20"/>
                <w:lang w:eastAsia="zh-CN"/>
              </w:rPr>
              <w:t>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100%</w:t>
            </w:r>
          </w:p>
        </w:tc>
      </w:tr>
      <w:tr>
        <w:tblPrEx>
          <w:tblLayout w:type="fixed"/>
          <w:tblCellMar>
            <w:top w:w="15" w:type="dxa"/>
            <w:left w:w="15" w:type="dxa"/>
            <w:bottom w:w="15" w:type="dxa"/>
            <w:right w:w="15" w:type="dxa"/>
          </w:tblCellMar>
        </w:tblPrEx>
        <w:trPr>
          <w:trHeight w:val="683"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效益指标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社会效益指标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规模性返贫</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无</w:t>
            </w:r>
          </w:p>
        </w:tc>
      </w:tr>
      <w:tr>
        <w:tblPrEx>
          <w:tblLayout w:type="fixed"/>
          <w:tblCellMar>
            <w:top w:w="15" w:type="dxa"/>
            <w:left w:w="15" w:type="dxa"/>
            <w:bottom w:w="15" w:type="dxa"/>
            <w:right w:w="15" w:type="dxa"/>
          </w:tblCellMar>
        </w:tblPrEx>
        <w:trPr>
          <w:trHeight w:val="11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满意度指标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服务对象满意度指标</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人口满意率（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≥96%</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pStyle w:val="2"/>
        <w:rPr>
          <w:rFonts w:eastAsia="方正仿宋_GBK"/>
          <w:color w:val="282828"/>
          <w:sz w:val="32"/>
          <w:szCs w:val="32"/>
        </w:rPr>
      </w:pPr>
    </w:p>
    <w:p>
      <w:pPr>
        <w:pStyle w:val="2"/>
        <w:rPr>
          <w:rFonts w:eastAsia="方正仿宋_GBK"/>
          <w:color w:val="282828"/>
          <w:sz w:val="32"/>
          <w:szCs w:val="32"/>
        </w:rPr>
      </w:pPr>
    </w:p>
    <w:p>
      <w:pPr>
        <w:pStyle w:val="2"/>
        <w:rPr>
          <w:rFonts w:eastAsia="方正仿宋_GBK"/>
          <w:color w:val="282828"/>
          <w:sz w:val="32"/>
          <w:szCs w:val="32"/>
        </w:rPr>
      </w:pPr>
    </w:p>
    <w:p>
      <w:pPr>
        <w:pStyle w:val="2"/>
        <w:rPr>
          <w:rFonts w:eastAsia="方正仿宋_GBK"/>
          <w:color w:val="282828"/>
          <w:sz w:val="32"/>
          <w:szCs w:val="32"/>
        </w:rPr>
      </w:pPr>
    </w:p>
    <w:p>
      <w:pPr>
        <w:pStyle w:val="2"/>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default" w:ascii="Times New Roman" w:hAnsi="Times New Roman" w:eastAsia="方正仿宋_GBK" w:cs="Times New Roman"/>
          <w:color w:val="282828"/>
          <w:sz w:val="28"/>
          <w:szCs w:val="28"/>
          <w:lang w:eastAsia="zh-CN"/>
        </w:rPr>
      </w:pPr>
      <w:r>
        <w:rPr>
          <w:rFonts w:hint="default" w:ascii="Times New Roman" w:hAnsi="Times New Roman" w:eastAsia="方正仿宋_GBK" w:cs="Times New Roman"/>
          <w:sz w:val="28"/>
          <w:szCs w:val="28"/>
        </w:rPr>
        <w:pict>
          <v:line id="直接连接符 2" o:spid="_x0000_s1029" o:spt="20" style="position:absolute;left:0pt;margin-left:-1.4pt;margin-top:6.5pt;height:1pt;width:439.35pt;z-index:251663360;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path arrowok="t"/>
            <v:fill on="f" focussize="0,0"/>
            <v:stroke weight="0.992047244094488pt" joinstyle="round"/>
            <v:imagedata o:title=""/>
            <o:lock v:ext="edit" aspectratio="f"/>
          </v:line>
        </w:pict>
      </w:r>
      <w:r>
        <w:rPr>
          <w:rFonts w:hint="default" w:ascii="Times New Roman" w:hAnsi="Times New Roman" w:eastAsia="方正仿宋_GBK" w:cs="Times New Roman"/>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pPr>
      <w:r>
        <w:rPr>
          <w:rFonts w:hint="default" w:ascii="Times New Roman" w:hAnsi="Times New Roman" w:eastAsia="方正仿宋_GBK" w:cs="Times New Roman"/>
          <w:sz w:val="28"/>
          <w:szCs w:val="28"/>
        </w:rPr>
        <w:pict>
          <v:line id="直接连接符 3" o:spid="_x0000_s1030" o:spt="20" style="position:absolute;left:0pt;margin-left:-1.4pt;margin-top:29.3pt;height:1pt;width:439.35pt;z-index:251661312;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path arrowok="t"/>
            <v:fill on="f" focussize="0,0"/>
            <v:stroke weight="0.992047244094488pt" joinstyle="round"/>
            <v:imagedata o:title=""/>
            <o:lock v:ext="edit" aspectratio="f"/>
          </v:line>
        </w:pict>
      </w:r>
      <w:r>
        <w:rPr>
          <w:rFonts w:hint="default" w:ascii="Times New Roman" w:hAnsi="Times New Roman" w:eastAsia="方正仿宋_GBK" w:cs="Times New Roman"/>
          <w:sz w:val="28"/>
          <w:szCs w:val="28"/>
        </w:rPr>
        <w:pict>
          <v:line id="直接连接符 4" o:spid="_x0000_s1031" o:spt="20" style="position:absolute;left:0pt;margin-left:-1.45pt;margin-top:2.65pt;height:0.7pt;width:439.35pt;z-index:251662336;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path arrowok="t"/>
            <v:fill on="f" focussize="0,0"/>
            <v:stroke weight="0.708582677165354pt" joinstyle="round"/>
            <v:imagedata o:title=""/>
            <o:lock v:ext="edit" aspectratio="f"/>
          </v:line>
        </w:pict>
      </w:r>
      <w:r>
        <w:rPr>
          <w:rFonts w:hint="default" w:ascii="Times New Roman" w:hAnsi="Times New Roman" w:eastAsia="方正仿宋_GBK" w:cs="Times New Roman"/>
          <w:sz w:val="28"/>
          <w:szCs w:val="28"/>
        </w:rPr>
        <w:t>澄江</w:t>
      </w:r>
      <w:r>
        <w:rPr>
          <w:rFonts w:hint="default" w:ascii="Times New Roman" w:hAnsi="Times New Roman" w:eastAsia="方正仿宋_GBK" w:cs="Times New Roman"/>
          <w:sz w:val="28"/>
          <w:szCs w:val="28"/>
          <w:lang w:eastAsia="zh-CN"/>
        </w:rPr>
        <w:t>市</w:t>
      </w:r>
      <w:r>
        <w:rPr>
          <w:rFonts w:hint="default" w:ascii="Times New Roman" w:hAnsi="Times New Roman" w:eastAsia="方正仿宋_GBK" w:cs="Times New Roman"/>
          <w:sz w:val="28"/>
          <w:szCs w:val="28"/>
        </w:rPr>
        <w:t xml:space="preserve">财政局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p/>
    <w:sectPr>
      <w:pgSz w:w="11906" w:h="16838"/>
      <w:pgMar w:top="1440" w:right="1803" w:bottom="1440" w:left="1803"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华文楷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1087C"/>
    <w:rsid w:val="4DF1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楷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Autospacing="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71"/>
    <w:basedOn w:val="7"/>
    <w:qFormat/>
    <w:uiPriority w:val="0"/>
    <w:rPr>
      <w:rFonts w:ascii="方正仿宋_GBK" w:hAnsi="方正仿宋_GBK" w:eastAsia="方正仿宋_GBK" w:cs="方正仿宋_GBK"/>
      <w:b/>
      <w:bCs/>
      <w:color w:val="000000"/>
      <w:sz w:val="24"/>
      <w:szCs w:val="24"/>
      <w:u w:val="none"/>
    </w:rPr>
  </w:style>
  <w:style w:type="character" w:customStyle="1" w:styleId="9">
    <w:name w:val="font5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2184</Words>
  <Characters>2372</Characters>
  <Lines>0</Lines>
  <Paragraphs>0</Paragraphs>
  <TotalTime>1</TotalTime>
  <ScaleCrop>false</ScaleCrop>
  <LinksUpToDate>false</LinksUpToDate>
  <CharactersWithSpaces>2439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2022-07-06T08:29:00Z</dcterms:created>
  <dc:creator>Dell</dc:creator>
  <cp:lastModifiedBy>Dell</cp:lastModifiedBy>
  <dcterms:modified xsi:type="dcterms:W3CDTF">2023-03-20T03:19:21Z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1356DF890AB84E31902227254C4C1FA1</vt:lpwstr>
  </property>
  <property fmtid="{D5CDD505-2E9C-101B-9397-08002B2CF9AE}" pid="4" name="ICV">
    <vt:lpwstr>1B58AAA761214213B82BC6EB88E5D083</vt:lpwstr>
  </property>
</Properties>
</file>