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after="0" w:line="600" w:lineRule="exact"/>
        <w:textAlignment w:val="auto"/>
        <w:rPr>
          <w:rFonts w:ascii="Arial" w:hAnsi="Arial" w:eastAsia="Arial" w:cs="Arial"/>
          <w:b/>
          <w:sz w:val="36"/>
        </w:rPr>
      </w:pPr>
      <w:r>
        <w:rPr>
          <w:rFonts w:ascii="Arial" w:hAnsi="Arial" w:eastAsia="Arial" w:cs="Arial"/>
          <w:b/>
          <w:sz w:val="36"/>
        </w:rPr>
        <w:t>监督索引号53040200135700301000</w:t>
      </w:r>
    </w:p>
    <w:p>
      <w:pPr>
        <w:keepNext w:val="0"/>
        <w:keepLines w:val="0"/>
        <w:pageBreakBefore w:val="0"/>
        <w:kinsoku/>
        <w:overflowPunct/>
        <w:topLinePunct w:val="0"/>
        <w:bidi w:val="0"/>
        <w:spacing w:after="0"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玉溪市红塔区文物管理所2022年度决算</w:t>
      </w:r>
    </w:p>
    <w:p>
      <w:pPr>
        <w:keepNext w:val="0"/>
        <w:keepLines w:val="0"/>
        <w:pageBreakBefore w:val="0"/>
        <w:kinsoku/>
        <w:overflowPunct/>
        <w:topLinePunct w:val="0"/>
        <w:bidi w:val="0"/>
        <w:spacing w:after="0"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keepNext w:val="0"/>
        <w:keepLines w:val="0"/>
        <w:pageBreakBefore w:val="0"/>
        <w:kinsoku/>
        <w:overflowPunct/>
        <w:topLinePunct w:val="0"/>
        <w:bidi w:val="0"/>
        <w:spacing w:after="0" w:line="600" w:lineRule="exact"/>
        <w:jc w:val="left"/>
        <w:textAlignment w:val="auto"/>
        <w:rPr>
          <w:rFonts w:hint="eastAsia" w:ascii="黑体" w:hAnsi="黑体" w:eastAsia="黑体"/>
          <w:sz w:val="30"/>
          <w:szCs w:val="30"/>
        </w:rPr>
      </w:pPr>
    </w:p>
    <w:p>
      <w:pPr>
        <w:keepNext w:val="0"/>
        <w:keepLines w:val="0"/>
        <w:pageBreakBefore w:val="0"/>
        <w:kinsoku/>
        <w:overflowPunct/>
        <w:topLinePunct w:val="0"/>
        <w:bidi w:val="0"/>
        <w:spacing w:after="0" w:line="600" w:lineRule="exact"/>
        <w:jc w:val="left"/>
        <w:textAlignment w:val="auto"/>
        <w:rPr>
          <w:rFonts w:hint="eastAsia" w:ascii="黑体" w:hAnsi="黑体" w:eastAsia="黑体"/>
          <w:sz w:val="30"/>
          <w:szCs w:val="30"/>
        </w:rPr>
      </w:pPr>
      <w:r>
        <w:rPr>
          <w:rFonts w:hint="eastAsia" w:ascii="黑体" w:hAnsi="黑体" w:eastAsia="黑体"/>
          <w:sz w:val="30"/>
          <w:szCs w:val="30"/>
        </w:rPr>
        <w:t>第一部分  玉溪市红塔区文物管理所概况</w:t>
      </w:r>
    </w:p>
    <w:p>
      <w:pPr>
        <w:keepNext w:val="0"/>
        <w:keepLines w:val="0"/>
        <w:pageBreakBefore w:val="0"/>
        <w:kinsoku/>
        <w:overflowPunct/>
        <w:topLinePunct w:val="0"/>
        <w:bidi w:val="0"/>
        <w:spacing w:after="0" w:line="600" w:lineRule="exact"/>
        <w:jc w:val="left"/>
        <w:textAlignment w:val="auto"/>
        <w:outlineLvl w:val="0"/>
        <w:rPr>
          <w:rFonts w:hint="eastAsia" w:ascii="楷体" w:hAnsi="楷体" w:eastAsia="楷体"/>
          <w:sz w:val="30"/>
          <w:szCs w:val="30"/>
        </w:rPr>
      </w:pPr>
      <w:r>
        <w:rPr>
          <w:rFonts w:hint="eastAsia" w:ascii="楷体" w:hAnsi="楷体" w:eastAsia="楷体"/>
          <w:sz w:val="30"/>
          <w:szCs w:val="30"/>
        </w:rPr>
        <w:t>一、主要职能</w:t>
      </w:r>
    </w:p>
    <w:p>
      <w:pPr>
        <w:keepNext w:val="0"/>
        <w:keepLines w:val="0"/>
        <w:pageBreakBefore w:val="0"/>
        <w:kinsoku/>
        <w:overflowPunct/>
        <w:topLinePunct w:val="0"/>
        <w:bidi w:val="0"/>
        <w:spacing w:after="0" w:line="600" w:lineRule="exact"/>
        <w:jc w:val="left"/>
        <w:textAlignment w:val="auto"/>
        <w:outlineLvl w:val="0"/>
        <w:rPr>
          <w:rFonts w:hint="eastAsia" w:ascii="楷体" w:hAnsi="楷体" w:eastAsia="楷体"/>
          <w:sz w:val="30"/>
          <w:szCs w:val="30"/>
        </w:rPr>
      </w:pPr>
      <w:r>
        <w:rPr>
          <w:rFonts w:hint="eastAsia" w:ascii="楷体" w:hAnsi="楷体" w:eastAsia="楷体"/>
          <w:sz w:val="30"/>
          <w:szCs w:val="30"/>
        </w:rPr>
        <w:t>二、部门基本情况</w:t>
      </w:r>
    </w:p>
    <w:p>
      <w:pPr>
        <w:keepNext w:val="0"/>
        <w:keepLines w:val="0"/>
        <w:pageBreakBefore w:val="0"/>
        <w:kinsoku/>
        <w:overflowPunct/>
        <w:topLinePunct w:val="0"/>
        <w:bidi w:val="0"/>
        <w:spacing w:after="0" w:line="600" w:lineRule="exact"/>
        <w:jc w:val="left"/>
        <w:textAlignment w:val="auto"/>
        <w:rPr>
          <w:rFonts w:hint="eastAsia" w:ascii="黑体" w:hAnsi="黑体" w:eastAsia="黑体"/>
          <w:sz w:val="30"/>
          <w:szCs w:val="30"/>
        </w:rPr>
      </w:pPr>
      <w:r>
        <w:rPr>
          <w:rFonts w:hint="eastAsia" w:ascii="黑体" w:hAnsi="黑体" w:eastAsia="黑体"/>
          <w:sz w:val="30"/>
          <w:szCs w:val="30"/>
        </w:rPr>
        <w:t>第二部分  2022年度部门决算表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一、收入支出决算总表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二、收入决算表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三、支出决算表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四、财政拨款收入支出决算总表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五、一般公共预算财政拨款收入支出决算表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六、一般公共预算财政拨款基本支出决算表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七、一般公共预算财政拨款项目支出决算表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八、政府性基金预算财政拨款收入支出决算表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九、国有资本经营预算财政拨款收入支出决算表</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十、“三公”经费、行政参公单位机关运行经费情况表</w:t>
      </w:r>
    </w:p>
    <w:p>
      <w:pPr>
        <w:keepNext w:val="0"/>
        <w:keepLines w:val="0"/>
        <w:pageBreakBefore w:val="0"/>
        <w:kinsoku/>
        <w:overflowPunct/>
        <w:topLinePunct w:val="0"/>
        <w:bidi w:val="0"/>
        <w:spacing w:after="0" w:line="600" w:lineRule="exact"/>
        <w:jc w:val="left"/>
        <w:textAlignment w:val="auto"/>
        <w:rPr>
          <w:rFonts w:hint="eastAsia" w:ascii="黑体" w:hAnsi="黑体" w:eastAsia="黑体"/>
          <w:sz w:val="30"/>
          <w:szCs w:val="30"/>
        </w:rPr>
      </w:pPr>
      <w:r>
        <w:rPr>
          <w:rFonts w:hint="eastAsia" w:ascii="黑体" w:hAnsi="黑体" w:eastAsia="黑体"/>
          <w:sz w:val="30"/>
          <w:szCs w:val="30"/>
        </w:rPr>
        <w:t>第三部分  2022年度部门决算情况说明</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一、收入决算情况说明</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二、支出决算情况说明</w:t>
      </w:r>
    </w:p>
    <w:p>
      <w:pPr>
        <w:keepNext w:val="0"/>
        <w:keepLines w:val="0"/>
        <w:pageBreakBefore w:val="0"/>
        <w:kinsoku/>
        <w:overflowPunct/>
        <w:topLinePunct w:val="0"/>
        <w:bidi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keepNext w:val="0"/>
        <w:keepLines w:val="0"/>
        <w:pageBreakBefore w:val="0"/>
        <w:widowControl/>
        <w:kinsoku/>
        <w:overflowPunct/>
        <w:topLinePunct w:val="0"/>
        <w:bidi w:val="0"/>
        <w:snapToGrid w:val="0"/>
        <w:spacing w:after="0" w:line="600" w:lineRule="exact"/>
        <w:jc w:val="left"/>
        <w:textAlignment w:val="auto"/>
        <w:rPr>
          <w:rFonts w:hint="eastAsia" w:ascii="楷体" w:hAnsi="楷体" w:eastAsia="楷体"/>
          <w:sz w:val="30"/>
          <w:szCs w:val="30"/>
        </w:rPr>
      </w:pPr>
      <w:r>
        <w:rPr>
          <w:rFonts w:hint="eastAsia" w:ascii="楷体" w:hAnsi="楷体" w:eastAsia="楷体"/>
          <w:sz w:val="30"/>
          <w:szCs w:val="30"/>
        </w:rPr>
        <w:t>四、财政拨款“三公”经费支出决算情况说明</w:t>
      </w:r>
    </w:p>
    <w:p>
      <w:pPr>
        <w:keepNext w:val="0"/>
        <w:keepLines w:val="0"/>
        <w:pageBreakBefore w:val="0"/>
        <w:widowControl/>
        <w:kinsoku/>
        <w:overflowPunct/>
        <w:topLinePunct w:val="0"/>
        <w:bidi w:val="0"/>
        <w:snapToGrid w:val="0"/>
        <w:spacing w:after="0" w:line="600" w:lineRule="exact"/>
        <w:jc w:val="left"/>
        <w:textAlignment w:val="auto"/>
        <w:rPr>
          <w:rFonts w:hint="eastAsia"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一、机关运行经费支出情况</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二、国有资产占用情况</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三、政府采购支出情况</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四、部门绩效自评情况</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（一）部门整体支出绩效自评情况</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（二）部门整体支出绩效自评表</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（三）项目支出绩效自评表</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五、其他重要事项情况说明</w:t>
      </w:r>
    </w:p>
    <w:p>
      <w:pPr>
        <w:keepNext w:val="0"/>
        <w:keepLines w:val="0"/>
        <w:pageBreakBefore w:val="0"/>
        <w:widowControl/>
        <w:suppressLineNumbers w:val="0"/>
        <w:kinsoku/>
        <w:overflowPunct/>
        <w:topLinePunct w:val="0"/>
        <w:autoSpaceDE w:val="0"/>
        <w:autoSpaceDN w:val="0"/>
        <w:bidi w:val="0"/>
        <w:spacing w:beforeAutospacing="0" w:after="0" w:afterAutospacing="0" w:line="600" w:lineRule="exact"/>
        <w:ind w:left="0" w:right="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rPr>
        <w:t>六、相关口径说明</w:t>
      </w:r>
    </w:p>
    <w:p>
      <w:pPr>
        <w:keepNext w:val="0"/>
        <w:keepLines w:val="0"/>
        <w:pageBreakBefore w:val="0"/>
        <w:widowControl/>
        <w:kinsoku/>
        <w:overflowPunct/>
        <w:topLinePunct w:val="0"/>
        <w:bidi w:val="0"/>
        <w:snapToGrid w:val="0"/>
        <w:spacing w:after="0" w:line="600" w:lineRule="exact"/>
        <w:jc w:val="left"/>
        <w:textAlignment w:val="auto"/>
        <w:rPr>
          <w:rFonts w:hint="eastAsia" w:ascii="黑体" w:hAnsi="黑体" w:eastAsia="黑体"/>
          <w:sz w:val="30"/>
          <w:szCs w:val="30"/>
        </w:rPr>
      </w:pPr>
      <w:r>
        <w:rPr>
          <w:rFonts w:hint="eastAsia" w:ascii="黑体" w:hAnsi="黑体" w:eastAsia="黑体"/>
          <w:sz w:val="30"/>
          <w:szCs w:val="30"/>
        </w:rPr>
        <w:t>第五部分  名词解释</w:t>
      </w:r>
    </w:p>
    <w:p>
      <w:pPr>
        <w:keepNext w:val="0"/>
        <w:keepLines w:val="0"/>
        <w:pageBreakBefore w:val="0"/>
        <w:kinsoku/>
        <w:overflowPunct/>
        <w:topLinePunct w:val="0"/>
        <w:bidi w:val="0"/>
        <w:spacing w:after="0" w:line="600" w:lineRule="exact"/>
        <w:jc w:val="center"/>
        <w:textAlignment w:val="auto"/>
        <w:outlineLvl w:val="1"/>
        <w:rPr>
          <w:rFonts w:ascii="黑体" w:hAnsi="黑体" w:eastAsia="黑体"/>
          <w:sz w:val="32"/>
          <w:szCs w:val="32"/>
        </w:rPr>
      </w:pPr>
      <w:r>
        <w:rPr>
          <w:rFonts w:ascii="黑体" w:hAnsi="黑体" w:eastAsia="黑体"/>
          <w:sz w:val="32"/>
          <w:szCs w:val="32"/>
        </w:rPr>
        <w:br w:type="page"/>
      </w:r>
      <w:r>
        <w:rPr>
          <w:rFonts w:hint="eastAsia" w:ascii="黑体" w:hAnsi="黑体" w:eastAsia="黑体" w:cs="Times New Roman"/>
          <w:sz w:val="32"/>
          <w:szCs w:val="32"/>
        </w:rPr>
        <w:t>第一部分  玉溪市红塔区文物管理所概况</w:t>
      </w:r>
    </w:p>
    <w:p>
      <w:pPr>
        <w:keepNext w:val="0"/>
        <w:keepLines w:val="0"/>
        <w:pageBreakBefore w:val="0"/>
        <w:kinsoku/>
        <w:overflowPunct/>
        <w:topLinePunct w:val="0"/>
        <w:bidi w:val="0"/>
        <w:spacing w:after="0" w:line="600" w:lineRule="exact"/>
        <w:ind w:firstLine="600" w:firstLineChars="200"/>
        <w:textAlignment w:val="auto"/>
        <w:outlineLvl w:val="1"/>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楷体" w:hAnsi="楷体" w:eastAsia="楷体"/>
          <w:sz w:val="30"/>
          <w:szCs w:val="30"/>
        </w:rPr>
      </w:pPr>
      <w:r>
        <w:rPr>
          <w:rFonts w:hint="eastAsia" w:ascii="楷体" w:hAnsi="楷体" w:eastAsia="楷体"/>
          <w:bCs/>
          <w:sz w:val="30"/>
          <w:szCs w:val="30"/>
        </w:rPr>
        <w:t>（一）主要职能</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保护文物，促进文物事业发展；纪念聂耳，教育人民;文物保护管理、文物考古调查、文物收集整理、文物建档研究、文物宣传教育；管辖玉溪市红塔区聂耳故居纪念馆、玉溪窑址博物馆、玉溪民俗博物馆、玉溪郑氏旧居展览馆，负责展馆的修缮布展和免费开放参观接待工作；聂耳史料搜集研究、聂耳史料陈列、故居维护与环境美化，参观接待等相关社会服务。</w:t>
      </w:r>
    </w:p>
    <w:p>
      <w:pPr>
        <w:pStyle w:val="2"/>
        <w:keepNext w:val="0"/>
        <w:keepLines w:val="0"/>
        <w:pageBreakBefore w:val="0"/>
        <w:numPr>
          <w:ilvl w:val="0"/>
          <w:numId w:val="1"/>
        </w:numPr>
        <w:kinsoku/>
        <w:overflowPunct/>
        <w:topLinePunct w:val="0"/>
        <w:bidi w:val="0"/>
        <w:adjustRightInd w:val="0"/>
        <w:snapToGrid w:val="0"/>
        <w:spacing w:before="0" w:beforeLines="0" w:after="0" w:line="600" w:lineRule="exact"/>
        <w:ind w:firstLine="630" w:firstLineChars="210"/>
        <w:textAlignment w:val="auto"/>
        <w:outlineLvl w:val="2"/>
        <w:rPr>
          <w:rFonts w:hint="eastAsia" w:ascii="楷体" w:hAnsi="楷体" w:eastAsia="楷体"/>
          <w:bCs/>
          <w:szCs w:val="30"/>
        </w:rPr>
      </w:pPr>
      <w:r>
        <w:rPr>
          <w:rFonts w:hint="eastAsia" w:ascii="楷体" w:hAnsi="楷体" w:eastAsia="楷体"/>
          <w:bCs/>
          <w:szCs w:val="30"/>
        </w:rPr>
        <w:t>2022年度重点工作任务概述</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1．争取中央资金1</w:t>
      </w:r>
      <w:r>
        <w:rPr>
          <w:rFonts w:hint="eastAsia"/>
          <w:bCs/>
          <w:szCs w:val="30"/>
          <w:lang w:val="en-US" w:eastAsia="zh-CN"/>
        </w:rPr>
        <w:t>,</w:t>
      </w:r>
      <w:r>
        <w:rPr>
          <w:rFonts w:hint="eastAsia"/>
          <w:bCs/>
          <w:szCs w:val="30"/>
        </w:rPr>
        <w:t>600.</w:t>
      </w:r>
      <w:r>
        <w:rPr>
          <w:bCs/>
          <w:szCs w:val="30"/>
        </w:rPr>
        <w:t>00</w:t>
      </w:r>
      <w:r>
        <w:rPr>
          <w:rFonts w:hint="eastAsia"/>
          <w:bCs/>
          <w:szCs w:val="30"/>
        </w:rPr>
        <w:t>万元，对国家重点文物保护单位玉溪窑址实施保护利用设施项目改造。目前，完成玉溪窑址保护利用设施项目推进会的召开；游客中心、停车场地界内树木移植进行中；10月25日召开了第一次工地例会。</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2．完成玉溪郑氏旧居修缮工程项目施工合同签订，完成监理询价招标，10月26日施工队伍进场施工。</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3．争取2023年中央预算内资金1</w:t>
      </w:r>
      <w:r>
        <w:rPr>
          <w:rFonts w:hint="eastAsia"/>
          <w:bCs/>
          <w:szCs w:val="30"/>
          <w:lang w:val="en-US" w:eastAsia="zh-CN"/>
        </w:rPr>
        <w:t>,</w:t>
      </w:r>
      <w:r>
        <w:rPr>
          <w:rFonts w:hint="eastAsia"/>
          <w:bCs/>
          <w:szCs w:val="30"/>
        </w:rPr>
        <w:t>600</w:t>
      </w:r>
      <w:r>
        <w:rPr>
          <w:bCs/>
          <w:szCs w:val="30"/>
        </w:rPr>
        <w:t>.00</w:t>
      </w:r>
      <w:r>
        <w:rPr>
          <w:rFonts w:hint="eastAsia"/>
          <w:bCs/>
          <w:szCs w:val="30"/>
        </w:rPr>
        <w:t>万</w:t>
      </w:r>
      <w:r>
        <w:rPr>
          <w:rFonts w:hint="eastAsia"/>
          <w:bCs/>
          <w:szCs w:val="30"/>
          <w:lang w:val="en-US" w:eastAsia="zh-CN"/>
        </w:rPr>
        <w:t>元</w:t>
      </w:r>
      <w:r>
        <w:rPr>
          <w:rFonts w:hint="eastAsia"/>
          <w:bCs/>
          <w:szCs w:val="30"/>
        </w:rPr>
        <w:t>，用于修缮文兴祥商号旧址、建设文物库房、建设玉溪州城记忆展览馆。</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4．完成了李家大院修缮项目（二期工程）油饰方案补充说明专家论证会。</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5．完成红塔区革命遗址申报工作；完成红塔区名碑名刻调研工作；完成红色标语类革命文物调查工作。</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6．红塔区辖区内的上桃源北山书院、玉溪革命烈士纪念碑被玉溪市人民政府核定公布为玉溪市第四批市级文物保护单位。</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7．聂耳邮局于10月21日举行揭牌仪式，正式开业。</w:t>
      </w:r>
    </w:p>
    <w:p>
      <w:pPr>
        <w:pStyle w:val="2"/>
        <w:keepNext w:val="0"/>
        <w:keepLines w:val="0"/>
        <w:pageBreakBefore w:val="0"/>
        <w:kinsoku/>
        <w:overflowPunct/>
        <w:topLinePunct w:val="0"/>
        <w:bidi w:val="0"/>
        <w:adjustRightInd w:val="0"/>
        <w:snapToGrid w:val="0"/>
        <w:spacing w:before="0" w:beforeLines="0" w:after="0" w:line="600" w:lineRule="exact"/>
        <w:ind w:firstLine="630" w:firstLineChars="210"/>
        <w:textAlignment w:val="auto"/>
        <w:rPr>
          <w:rFonts w:hint="eastAsia"/>
          <w:bCs/>
          <w:szCs w:val="30"/>
        </w:rPr>
      </w:pPr>
      <w:r>
        <w:rPr>
          <w:rFonts w:hint="eastAsia"/>
          <w:bCs/>
          <w:szCs w:val="30"/>
        </w:rPr>
        <w:t>8．新增配发50套100具灭火器到各级文保单位。</w:t>
      </w:r>
    </w:p>
    <w:p>
      <w:pPr>
        <w:keepNext w:val="0"/>
        <w:keepLines w:val="0"/>
        <w:pageBreakBefore w:val="0"/>
        <w:kinsoku/>
        <w:overflowPunct/>
        <w:topLinePunct w:val="0"/>
        <w:bidi w:val="0"/>
        <w:spacing w:after="0" w:line="600" w:lineRule="exact"/>
        <w:ind w:firstLine="600" w:firstLineChars="200"/>
        <w:textAlignment w:val="auto"/>
        <w:outlineLvl w:val="1"/>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楷体" w:hAnsi="楷体" w:eastAsia="楷体"/>
          <w:sz w:val="30"/>
          <w:szCs w:val="30"/>
        </w:rPr>
      </w:pPr>
      <w:r>
        <w:rPr>
          <w:rFonts w:hint="eastAsia" w:ascii="楷体" w:hAnsi="楷体" w:eastAsia="楷体"/>
          <w:sz w:val="30"/>
          <w:szCs w:val="30"/>
        </w:rPr>
        <w:t>（一）机构设置情况</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仿宋_GB2312" w:eastAsia="仿宋_GB2312"/>
          <w:sz w:val="30"/>
          <w:szCs w:val="30"/>
        </w:rPr>
      </w:pPr>
      <w:r>
        <w:rPr>
          <w:rFonts w:hint="eastAsia" w:ascii="仿宋_GB2312" w:eastAsia="仿宋_GB2312"/>
          <w:sz w:val="30"/>
          <w:szCs w:val="30"/>
        </w:rPr>
        <w:t>我部门共设置1个内设机构，为办公室。</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仿宋_GB2312" w:eastAsia="仿宋_GB2312"/>
          <w:sz w:val="30"/>
          <w:szCs w:val="30"/>
        </w:rPr>
      </w:pPr>
      <w:r>
        <w:rPr>
          <w:rFonts w:hint="eastAsia" w:ascii="仿宋_GB2312" w:eastAsia="仿宋_GB2312"/>
          <w:sz w:val="30"/>
          <w:szCs w:val="30"/>
        </w:rPr>
        <w:t>无所属单位。</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楷体" w:hAnsi="楷体" w:eastAsia="楷体"/>
          <w:sz w:val="30"/>
          <w:szCs w:val="30"/>
        </w:rPr>
      </w:pPr>
      <w:r>
        <w:rPr>
          <w:rFonts w:hint="eastAsia" w:ascii="楷体" w:hAnsi="楷体" w:eastAsia="楷体"/>
          <w:sz w:val="30"/>
          <w:szCs w:val="30"/>
        </w:rPr>
        <w:t>（二）决算单位构成</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仿宋_GB2312" w:eastAsia="仿宋_GB2312"/>
          <w:sz w:val="30"/>
          <w:szCs w:val="30"/>
          <w:lang w:val="en-US" w:eastAsia="zh-CN"/>
        </w:rPr>
      </w:pPr>
      <w:r>
        <w:rPr>
          <w:rFonts w:hint="eastAsia" w:ascii="仿宋_GB2312" w:eastAsia="仿宋_GB2312"/>
          <w:sz w:val="30"/>
          <w:szCs w:val="30"/>
        </w:rPr>
        <w:t>纳入玉溪市红塔区文物管理所2022年度部门决算编报的单位共1个。其中：行政单位0个，参照公务员法管理的事业单位0个，其他事业单位1个。</w:t>
      </w:r>
      <w:r>
        <w:rPr>
          <w:rFonts w:hint="eastAsia" w:ascii="仿宋_GB2312" w:eastAsia="仿宋_GB2312"/>
          <w:sz w:val="30"/>
          <w:szCs w:val="30"/>
          <w:lang w:val="en-US" w:eastAsia="zh-CN"/>
        </w:rPr>
        <w:t>分别是：</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仿宋_GB2312" w:eastAsia="仿宋_GB2312"/>
          <w:sz w:val="30"/>
          <w:szCs w:val="30"/>
          <w:lang w:val="en-US" w:eastAsia="zh-CN"/>
        </w:rPr>
      </w:pPr>
      <w:r>
        <w:rPr>
          <w:rFonts w:hint="eastAsia" w:ascii="仿宋_GB2312" w:eastAsia="仿宋_GB2312"/>
          <w:sz w:val="30"/>
          <w:szCs w:val="30"/>
          <w:lang w:val="en-US" w:eastAsia="zh-CN"/>
        </w:rPr>
        <w:t>1.玉溪市红塔区文物管理所。</w:t>
      </w:r>
    </w:p>
    <w:p>
      <w:pPr>
        <w:keepNext w:val="0"/>
        <w:keepLines w:val="0"/>
        <w:pageBreakBefore w:val="0"/>
        <w:kinsoku/>
        <w:overflowPunct/>
        <w:topLinePunct w:val="0"/>
        <w:bidi w:val="0"/>
        <w:spacing w:after="0" w:line="600" w:lineRule="exact"/>
        <w:ind w:firstLine="600" w:firstLineChars="200"/>
        <w:textAlignment w:val="auto"/>
        <w:outlineLvl w:val="2"/>
        <w:rPr>
          <w:rFonts w:hint="eastAsia" w:ascii="楷体" w:hAnsi="楷体" w:eastAsia="楷体"/>
          <w:sz w:val="30"/>
          <w:szCs w:val="30"/>
        </w:rPr>
      </w:pPr>
      <w:r>
        <w:rPr>
          <w:rFonts w:hint="eastAsia" w:ascii="楷体" w:hAnsi="楷体" w:eastAsia="楷体"/>
          <w:sz w:val="30"/>
          <w:szCs w:val="30"/>
        </w:rPr>
        <w:t>（三）部门人员和车辆的编制及实有情况</w:t>
      </w:r>
    </w:p>
    <w:p>
      <w:pPr>
        <w:keepNext w:val="0"/>
        <w:keepLines w:val="0"/>
        <w:pageBreakBefore w:val="0"/>
        <w:kinsoku/>
        <w:overflowPunct/>
        <w:topLinePunct w:val="0"/>
        <w:bidi w:val="0"/>
        <w:spacing w:after="0" w:line="600" w:lineRule="exact"/>
        <w:ind w:firstLine="600" w:firstLineChars="200"/>
        <w:textAlignment w:val="auto"/>
        <w:rPr>
          <w:rFonts w:ascii="仿宋_GB2312" w:eastAsia="仿宋_GB2312"/>
          <w:sz w:val="30"/>
          <w:szCs w:val="30"/>
        </w:rPr>
      </w:pPr>
      <w:r>
        <w:rPr>
          <w:rFonts w:hint="eastAsia" w:ascii="仿宋_GB2312" w:eastAsia="仿宋_GB2312"/>
          <w:sz w:val="30"/>
          <w:szCs w:val="30"/>
        </w:rPr>
        <w:t>玉溪市红塔区文物管理所2022年末实有人员编制10人。其中：行政编制0人（含行政工勤编制0人），事业编制10人（含参公管理事业编制0人）；在职在编实有行政人员0人（含行政工勤人员0人），事业人员10人（含参公管理事业人员0人）。</w:t>
      </w:r>
    </w:p>
    <w:p>
      <w:pPr>
        <w:keepNext w:val="0"/>
        <w:keepLines w:val="0"/>
        <w:pageBreakBefore w:val="0"/>
        <w:kinsoku/>
        <w:overflowPunct/>
        <w:topLinePunct w:val="0"/>
        <w:bidi w:val="0"/>
        <w:spacing w:after="0" w:line="600" w:lineRule="exact"/>
        <w:ind w:firstLine="600" w:firstLineChars="200"/>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尚未移交养老保险基金发放养老金的离退休人员共计0人（离休0人，退休0人）；由养老保险基金发放养老金的离退休人员1人（离休0人，退休1人）。</w:t>
      </w:r>
    </w:p>
    <w:p>
      <w:pPr>
        <w:keepNext w:val="0"/>
        <w:keepLines w:val="0"/>
        <w:pageBreakBefore w:val="0"/>
        <w:kinsoku/>
        <w:overflowPunct/>
        <w:topLinePunct w:val="0"/>
        <w:bidi w:val="0"/>
        <w:spacing w:after="0" w:line="600" w:lineRule="exact"/>
        <w:ind w:firstLine="600" w:firstLineChars="200"/>
        <w:textAlignment w:val="auto"/>
        <w:rPr>
          <w:rFonts w:hint="eastAsia" w:ascii="仿宋_GB2312" w:hAnsi="宋体" w:eastAsia="仿宋_GB2312" w:cs="Arial"/>
          <w:color w:val="FF0000"/>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rPr>
        <w:t>0</w:t>
      </w:r>
      <w:r>
        <w:rPr>
          <w:rFonts w:hint="eastAsia" w:ascii="仿宋_GB2312" w:hAnsi="宋体" w:eastAsia="仿宋_GB2312" w:cs="Arial"/>
          <w:kern w:val="0"/>
          <w:sz w:val="30"/>
          <w:szCs w:val="30"/>
        </w:rPr>
        <w:t>辆，在编实有车辆</w:t>
      </w:r>
      <w:r>
        <w:rPr>
          <w:rFonts w:hint="eastAsia" w:ascii="仿宋_GB2312" w:eastAsia="仿宋_GB2312"/>
          <w:sz w:val="30"/>
          <w:szCs w:val="30"/>
        </w:rPr>
        <w:t>0</w:t>
      </w:r>
      <w:r>
        <w:rPr>
          <w:rFonts w:hint="eastAsia" w:ascii="仿宋_GB2312" w:hAnsi="宋体" w:eastAsia="仿宋_GB2312" w:cs="Arial"/>
          <w:kern w:val="0"/>
          <w:sz w:val="30"/>
          <w:szCs w:val="30"/>
        </w:rPr>
        <w:t>辆。</w:t>
      </w:r>
    </w:p>
    <w:p>
      <w:pPr>
        <w:keepNext w:val="0"/>
        <w:keepLines w:val="0"/>
        <w:pageBreakBefore w:val="0"/>
        <w:kinsoku/>
        <w:overflowPunct/>
        <w:topLinePunct w:val="0"/>
        <w:bidi w:val="0"/>
        <w:spacing w:after="0" w:line="60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第二部分  2022年度部门决算表</w:t>
      </w:r>
    </w:p>
    <w:p>
      <w:pPr>
        <w:keepNext w:val="0"/>
        <w:keepLines w:val="0"/>
        <w:pageBreakBefore w:val="0"/>
        <w:kinsoku/>
        <w:overflowPunct/>
        <w:topLinePunct w:val="0"/>
        <w:bidi w:val="0"/>
        <w:spacing w:after="0" w:line="600" w:lineRule="exact"/>
        <w:jc w:val="center"/>
        <w:textAlignment w:val="auto"/>
        <w:rPr>
          <w:rFonts w:hint="eastAsia" w:ascii="仿宋_GB2312" w:eastAsia="仿宋_GB2312"/>
          <w:sz w:val="30"/>
          <w:szCs w:val="30"/>
        </w:rPr>
      </w:pPr>
      <w:r>
        <w:rPr>
          <w:rFonts w:hint="eastAsia" w:ascii="仿宋_GB2312" w:eastAsia="仿宋_GB2312"/>
          <w:sz w:val="30"/>
          <w:szCs w:val="30"/>
        </w:rPr>
        <w:t>（详见附件）</w:t>
      </w:r>
    </w:p>
    <w:p>
      <w:pPr>
        <w:keepNext w:val="0"/>
        <w:keepLines w:val="0"/>
        <w:pageBreakBefore w:val="0"/>
        <w:kinsoku/>
        <w:overflowPunct/>
        <w:topLinePunct w:val="0"/>
        <w:bidi w:val="0"/>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玉溪市红塔区文物管理所没有政府性基金收入，也没有使用政府性基金安排的支出，故《政府性基金预算财政拨款收入支出决算表》无数据。</w:t>
      </w:r>
    </w:p>
    <w:p>
      <w:pPr>
        <w:keepNext w:val="0"/>
        <w:keepLines w:val="0"/>
        <w:pageBreakBefore w:val="0"/>
        <w:kinsoku/>
        <w:overflowPunct/>
        <w:topLinePunct w:val="0"/>
        <w:bidi w:val="0"/>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玉溪市红塔区文物管理所没有国有资本经营收入，也没有使用国有资本经营安排的支出，故《国有资本经营预算财政拨款收入支出决算表》无数据。</w:t>
      </w:r>
    </w:p>
    <w:p>
      <w:pPr>
        <w:keepNext w:val="0"/>
        <w:keepLines w:val="0"/>
        <w:pageBreakBefore w:val="0"/>
        <w:kinsoku/>
        <w:overflowPunct/>
        <w:topLinePunct w:val="0"/>
        <w:bidi w:val="0"/>
        <w:spacing w:after="0" w:line="60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第三部分  2022年度部门决算情况说明</w:t>
      </w:r>
    </w:p>
    <w:p>
      <w:pPr>
        <w:keepNext w:val="0"/>
        <w:keepLines w:val="0"/>
        <w:pageBreakBefore w:val="0"/>
        <w:kinsoku/>
        <w:overflowPunct/>
        <w:topLinePunct w:val="0"/>
        <w:bidi w:val="0"/>
        <w:spacing w:after="0"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widowControl/>
        <w:kinsoku/>
        <w:overflowPunct/>
        <w:topLinePunct w:val="0"/>
        <w:bidi w:val="0"/>
        <w:snapToGrid w:val="0"/>
        <w:spacing w:after="0" w:line="600" w:lineRule="exact"/>
        <w:ind w:firstLine="538"/>
        <w:jc w:val="left"/>
        <w:textAlignment w:val="auto"/>
        <w:rPr>
          <w:rFonts w:hint="default" w:ascii="仿宋_GB2312" w:eastAsia="仿宋_GB2312"/>
          <w:color w:val="FF0000"/>
          <w:sz w:val="30"/>
          <w:szCs w:val="30"/>
          <w:lang w:val="en-US" w:eastAsia="zh-CN"/>
        </w:rPr>
      </w:pPr>
      <w:r>
        <w:rPr>
          <w:rFonts w:hint="eastAsia" w:ascii="仿宋_GB2312" w:hAnsi="仿宋_GB2312" w:eastAsia="仿宋_GB2312" w:cs="仿宋_GB2312"/>
          <w:kern w:val="0"/>
          <w:sz w:val="30"/>
          <w:szCs w:val="30"/>
        </w:rPr>
        <w:t>玉溪市红塔区文物管理所2022年度收入合计3，040，293.19元。其中：财政拨款收入3</w:t>
      </w:r>
      <w:r>
        <w:rPr>
          <w:rFonts w:hint="eastAsia" w:ascii="仿宋_GB2312" w:eastAsia="仿宋_GB2312"/>
          <w:sz w:val="30"/>
          <w:szCs w:val="30"/>
        </w:rPr>
        <w:t>,</w:t>
      </w:r>
      <w:r>
        <w:rPr>
          <w:rFonts w:hint="eastAsia" w:ascii="仿宋_GB2312" w:hAnsi="仿宋_GB2312" w:eastAsia="仿宋_GB2312" w:cs="仿宋_GB2312"/>
          <w:kern w:val="0"/>
          <w:sz w:val="30"/>
          <w:szCs w:val="30"/>
        </w:rPr>
        <w:t>020</w:t>
      </w:r>
      <w:r>
        <w:rPr>
          <w:rFonts w:hint="eastAsia" w:ascii="仿宋_GB2312" w:eastAsia="仿宋_GB2312"/>
          <w:sz w:val="30"/>
          <w:szCs w:val="30"/>
        </w:rPr>
        <w:t>,</w:t>
      </w:r>
      <w:r>
        <w:rPr>
          <w:rFonts w:hint="eastAsia" w:ascii="仿宋_GB2312" w:hAnsi="仿宋_GB2312" w:eastAsia="仿宋_GB2312" w:cs="仿宋_GB2312"/>
          <w:kern w:val="0"/>
          <w:sz w:val="30"/>
          <w:szCs w:val="30"/>
        </w:rPr>
        <w:t>293.19元，占总收入的</w:t>
      </w:r>
      <w:r>
        <w:rPr>
          <w:rFonts w:hint="eastAsia" w:ascii="仿宋_GB2312" w:hAnsi="仿宋_GB2312" w:eastAsia="仿宋_GB2312" w:cs="仿宋_GB2312"/>
          <w:sz w:val="30"/>
          <w:szCs w:val="30"/>
        </w:rPr>
        <w:t>99.34%；上级补助收入0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元，占总收入的0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%；事业收入0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元（含教育收费</w:t>
      </w:r>
      <w:r>
        <w:rPr>
          <w:rFonts w:hint="eastAsia" w:ascii="仿宋_GB2312" w:eastAsia="仿宋_GB2312"/>
          <w:sz w:val="30"/>
          <w:szCs w:val="30"/>
        </w:rPr>
        <w:t>0</w:t>
      </w:r>
      <w:r>
        <w:rPr>
          <w:rFonts w:ascii="仿宋_GB2312" w:eastAsia="仿宋_GB2312"/>
          <w:sz w:val="30"/>
          <w:szCs w:val="30"/>
        </w:rPr>
        <w:t>.00</w:t>
      </w:r>
      <w:r>
        <w:rPr>
          <w:rFonts w:hint="eastAsia" w:ascii="仿宋_GB2312" w:eastAsia="仿宋_GB2312"/>
          <w:sz w:val="30"/>
          <w:szCs w:val="30"/>
        </w:rPr>
        <w:t>元），占总收入的0</w:t>
      </w:r>
      <w:r>
        <w:rPr>
          <w:rFonts w:ascii="仿宋_GB2312" w:eastAsia="仿宋_GB2312"/>
          <w:sz w:val="30"/>
          <w:szCs w:val="30"/>
        </w:rPr>
        <w:t>.00</w:t>
      </w:r>
      <w:r>
        <w:rPr>
          <w:rFonts w:hint="eastAsia" w:ascii="仿宋_GB2312" w:eastAsia="仿宋_GB2312"/>
          <w:sz w:val="30"/>
          <w:szCs w:val="30"/>
        </w:rPr>
        <w:t>%；经营收入0</w:t>
      </w:r>
      <w:r>
        <w:rPr>
          <w:rFonts w:ascii="仿宋_GB2312" w:eastAsia="仿宋_GB2312"/>
          <w:sz w:val="30"/>
          <w:szCs w:val="30"/>
        </w:rPr>
        <w:t>.00</w:t>
      </w:r>
      <w:r>
        <w:rPr>
          <w:rFonts w:hint="eastAsia" w:ascii="仿宋_GB2312" w:eastAsia="仿宋_GB2312"/>
          <w:sz w:val="30"/>
          <w:szCs w:val="30"/>
        </w:rPr>
        <w:t>元，占总收入的0</w:t>
      </w:r>
      <w:r>
        <w:rPr>
          <w:rFonts w:ascii="仿宋_GB2312" w:eastAsia="仿宋_GB2312"/>
          <w:sz w:val="30"/>
          <w:szCs w:val="30"/>
        </w:rPr>
        <w:t>.00</w:t>
      </w:r>
      <w:r>
        <w:rPr>
          <w:rFonts w:hint="eastAsia" w:ascii="仿宋_GB2312" w:eastAsia="仿宋_GB2312"/>
          <w:sz w:val="30"/>
          <w:szCs w:val="30"/>
        </w:rPr>
        <w:t>%；附属单位上缴收入0</w:t>
      </w:r>
      <w:r>
        <w:rPr>
          <w:rFonts w:ascii="仿宋_GB2312" w:eastAsia="仿宋_GB2312"/>
          <w:sz w:val="30"/>
          <w:szCs w:val="30"/>
        </w:rPr>
        <w:t>.00</w:t>
      </w:r>
      <w:r>
        <w:rPr>
          <w:rFonts w:hint="eastAsia" w:ascii="仿宋_GB2312" w:eastAsia="仿宋_GB2312"/>
          <w:sz w:val="30"/>
          <w:szCs w:val="30"/>
        </w:rPr>
        <w:t>元，占总收入的0</w:t>
      </w:r>
      <w:r>
        <w:rPr>
          <w:rFonts w:ascii="仿宋_GB2312" w:eastAsia="仿宋_GB2312"/>
          <w:sz w:val="30"/>
          <w:szCs w:val="30"/>
        </w:rPr>
        <w:t>.00</w:t>
      </w:r>
      <w:r>
        <w:rPr>
          <w:rFonts w:hint="eastAsia" w:ascii="仿宋_GB2312" w:eastAsia="仿宋_GB2312"/>
          <w:sz w:val="30"/>
          <w:szCs w:val="30"/>
        </w:rPr>
        <w:t>%；其他收入20,000</w:t>
      </w:r>
      <w:r>
        <w:rPr>
          <w:rFonts w:hint="eastAsia" w:ascii="仿宋_GB2312" w:eastAsia="仿宋_GB2312"/>
          <w:sz w:val="30"/>
          <w:szCs w:val="30"/>
          <w:lang w:val="en-US" w:eastAsia="zh-CN"/>
        </w:rPr>
        <w:t>.00</w:t>
      </w:r>
      <w:r>
        <w:rPr>
          <w:rFonts w:hint="eastAsia" w:ascii="仿宋_GB2312" w:eastAsia="仿宋_GB2312"/>
          <w:sz w:val="30"/>
          <w:szCs w:val="30"/>
        </w:rPr>
        <w:t>元，占总收入的0.66%。与上年相比，收入合计减少456,037.62元，下降13.04%。其中：财政拨款收入减少436,037.62元，下降12.62%；上级补助收入增加0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%；事业收入增加0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%；经营收入增加0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%；附属单位上缴收入增加0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%；其他收入减少20,000</w:t>
      </w:r>
      <w:r>
        <w:rPr>
          <w:rFonts w:hint="eastAsia" w:ascii="仿宋_GB2312" w:eastAsia="仿宋_GB2312"/>
          <w:sz w:val="30"/>
          <w:szCs w:val="30"/>
          <w:lang w:val="en-US" w:eastAsia="zh-CN"/>
        </w:rPr>
        <w:t>.00</w:t>
      </w:r>
      <w:r>
        <w:rPr>
          <w:rFonts w:hint="eastAsia" w:ascii="仿宋_GB2312" w:eastAsia="仿宋_GB2312"/>
          <w:sz w:val="30"/>
          <w:szCs w:val="30"/>
        </w:rPr>
        <w:t>元，下降50</w:t>
      </w:r>
      <w:r>
        <w:rPr>
          <w:rFonts w:ascii="仿宋_GB2312" w:eastAsia="仿宋_GB2312"/>
          <w:sz w:val="30"/>
          <w:szCs w:val="30"/>
        </w:rPr>
        <w:t>.00</w:t>
      </w:r>
      <w:r>
        <w:rPr>
          <w:rFonts w:hint="eastAsia" w:ascii="仿宋_GB2312" w:eastAsia="仿宋_GB2312"/>
          <w:sz w:val="30"/>
          <w:szCs w:val="30"/>
        </w:rPr>
        <w:t>%。</w:t>
      </w:r>
      <w:r>
        <w:rPr>
          <w:rFonts w:hint="eastAsia" w:ascii="仿宋_GB2312" w:eastAsia="仿宋_GB2312"/>
          <w:sz w:val="30"/>
          <w:szCs w:val="30"/>
          <w:lang w:val="en-US" w:eastAsia="zh-CN"/>
        </w:rPr>
        <w:t>主要原因是</w:t>
      </w:r>
      <w:r>
        <w:rPr>
          <w:rFonts w:hint="eastAsia" w:ascii="仿宋_GB2312" w:eastAsia="仿宋_GB2312"/>
          <w:sz w:val="30"/>
          <w:szCs w:val="30"/>
          <w:lang w:eastAsia="zh-CN"/>
        </w:rPr>
        <w:t>全年项目收入减少，因此本年收入较上年减少。</w:t>
      </w:r>
    </w:p>
    <w:p>
      <w:pPr>
        <w:keepNext w:val="0"/>
        <w:keepLines w:val="0"/>
        <w:pageBreakBefore w:val="0"/>
        <w:kinsoku/>
        <w:overflowPunct/>
        <w:topLinePunct w:val="0"/>
        <w:bidi w:val="0"/>
        <w:spacing w:after="0"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kinsoku/>
        <w:overflowPunct/>
        <w:topLinePunct w:val="0"/>
        <w:bidi w:val="0"/>
        <w:spacing w:after="0" w:line="600" w:lineRule="exact"/>
        <w:ind w:firstLine="600" w:firstLineChars="200"/>
        <w:textAlignment w:val="auto"/>
        <w:rPr>
          <w:rFonts w:hint="eastAsia" w:ascii="仿宋_GB2312" w:hAnsi="宋体" w:eastAsia="仿宋_GB2312" w:cs="Arial"/>
          <w:kern w:val="0"/>
          <w:sz w:val="30"/>
          <w:szCs w:val="30"/>
        </w:rPr>
      </w:pPr>
      <w:r>
        <w:rPr>
          <w:rFonts w:hint="eastAsia" w:ascii="仿宋_GB2312" w:eastAsia="仿宋_GB2312"/>
          <w:sz w:val="30"/>
          <w:szCs w:val="30"/>
        </w:rPr>
        <w:t>玉溪市红塔区文物管理所2022年度支出合计3,054，719.44元。其中：基本支出1,577,964.7元，占总支出的51.66％；</w:t>
      </w:r>
      <w:r>
        <w:rPr>
          <w:rFonts w:hint="eastAsia" w:ascii="仿宋_GB2312" w:hAnsi="宋体" w:eastAsia="仿宋_GB2312" w:cs="Arial"/>
          <w:kern w:val="0"/>
          <w:sz w:val="30"/>
          <w:szCs w:val="30"/>
        </w:rPr>
        <w:t>项目支出</w:t>
      </w:r>
      <w:r>
        <w:rPr>
          <w:rFonts w:hint="eastAsia" w:ascii="仿宋_GB2312" w:eastAsia="仿宋_GB2312"/>
          <w:sz w:val="30"/>
          <w:szCs w:val="30"/>
        </w:rPr>
        <w:t>1，476,754.74</w:t>
      </w:r>
      <w:r>
        <w:rPr>
          <w:rFonts w:hint="eastAsia" w:ascii="仿宋_GB2312" w:hAnsi="宋体" w:eastAsia="仿宋_GB2312" w:cs="Arial"/>
          <w:kern w:val="0"/>
          <w:sz w:val="30"/>
          <w:szCs w:val="30"/>
        </w:rPr>
        <w:t>元，占总支出的</w:t>
      </w:r>
      <w:r>
        <w:rPr>
          <w:rFonts w:hint="eastAsia" w:ascii="仿宋_GB2312" w:eastAsia="仿宋_GB2312"/>
          <w:sz w:val="30"/>
          <w:szCs w:val="30"/>
        </w:rPr>
        <w:t>48.34</w:t>
      </w:r>
      <w:r>
        <w:rPr>
          <w:rFonts w:hint="eastAsia" w:ascii="仿宋_GB2312" w:hAnsi="宋体" w:eastAsia="仿宋_GB2312" w:cs="Arial"/>
          <w:kern w:val="0"/>
          <w:sz w:val="30"/>
          <w:szCs w:val="30"/>
        </w:rPr>
        <w:t>％；上缴上级支出0</w:t>
      </w:r>
      <w:r>
        <w:rPr>
          <w:rFonts w:ascii="仿宋_GB2312" w:hAnsi="宋体" w:eastAsia="仿宋_GB2312" w:cs="Arial"/>
          <w:kern w:val="0"/>
          <w:sz w:val="30"/>
          <w:szCs w:val="30"/>
        </w:rPr>
        <w:t>.0</w:t>
      </w:r>
      <w:r>
        <w:rPr>
          <w:rFonts w:hint="eastAsia" w:ascii="仿宋_GB2312" w:eastAsia="仿宋_GB2312"/>
          <w:sz w:val="30"/>
          <w:szCs w:val="30"/>
        </w:rPr>
        <w:t>0</w:t>
      </w:r>
      <w:r>
        <w:rPr>
          <w:rFonts w:hint="eastAsia" w:ascii="仿宋_GB2312" w:hAnsi="宋体" w:eastAsia="仿宋_GB2312" w:cs="Arial"/>
          <w:kern w:val="0"/>
          <w:sz w:val="30"/>
          <w:szCs w:val="30"/>
        </w:rPr>
        <w:t>元，占总支出的</w:t>
      </w:r>
      <w:r>
        <w:rPr>
          <w:rFonts w:hint="eastAsia" w:ascii="仿宋_GB2312" w:eastAsia="仿宋_GB2312"/>
          <w:sz w:val="30"/>
          <w:szCs w:val="30"/>
        </w:rPr>
        <w:t>0</w:t>
      </w:r>
      <w:r>
        <w:rPr>
          <w:rFonts w:ascii="仿宋_GB2312" w:eastAsia="仿宋_GB2312"/>
          <w:sz w:val="30"/>
          <w:szCs w:val="30"/>
        </w:rPr>
        <w:t>.00</w:t>
      </w:r>
      <w:r>
        <w:rPr>
          <w:rFonts w:hint="eastAsia" w:ascii="仿宋_GB2312" w:hAnsi="宋体" w:eastAsia="仿宋_GB2312" w:cs="Arial"/>
          <w:kern w:val="0"/>
          <w:sz w:val="30"/>
          <w:szCs w:val="30"/>
        </w:rPr>
        <w:t>％；经营支出</w:t>
      </w:r>
      <w:r>
        <w:rPr>
          <w:rFonts w:hint="eastAsia" w:ascii="仿宋_GB2312" w:eastAsia="仿宋_GB2312"/>
          <w:sz w:val="30"/>
          <w:szCs w:val="30"/>
        </w:rPr>
        <w:t>0</w:t>
      </w:r>
      <w:r>
        <w:rPr>
          <w:rFonts w:ascii="仿宋_GB2312" w:eastAsia="仿宋_GB2312"/>
          <w:sz w:val="30"/>
          <w:szCs w:val="30"/>
        </w:rPr>
        <w:t>.00</w:t>
      </w:r>
      <w:r>
        <w:rPr>
          <w:rFonts w:hint="eastAsia" w:ascii="仿宋_GB2312" w:hAnsi="宋体" w:eastAsia="仿宋_GB2312" w:cs="Arial"/>
          <w:kern w:val="0"/>
          <w:sz w:val="30"/>
          <w:szCs w:val="30"/>
        </w:rPr>
        <w:t>元，占总支出的</w:t>
      </w:r>
      <w:r>
        <w:rPr>
          <w:rFonts w:hint="eastAsia" w:ascii="仿宋_GB2312" w:eastAsia="仿宋_GB2312"/>
          <w:sz w:val="30"/>
          <w:szCs w:val="30"/>
        </w:rPr>
        <w:t>0</w:t>
      </w:r>
      <w:r>
        <w:rPr>
          <w:rFonts w:ascii="仿宋_GB2312" w:eastAsia="仿宋_GB2312"/>
          <w:sz w:val="30"/>
          <w:szCs w:val="30"/>
        </w:rPr>
        <w:t>.00</w:t>
      </w:r>
      <w:r>
        <w:rPr>
          <w:rFonts w:hint="eastAsia" w:ascii="仿宋_GB2312" w:hAnsi="宋体" w:eastAsia="仿宋_GB2312" w:cs="Arial"/>
          <w:kern w:val="0"/>
          <w:sz w:val="30"/>
          <w:szCs w:val="30"/>
        </w:rPr>
        <w:t>％；对附属单位补助支出</w:t>
      </w:r>
      <w:r>
        <w:rPr>
          <w:rFonts w:hint="eastAsia" w:ascii="仿宋_GB2312" w:eastAsia="仿宋_GB2312"/>
          <w:sz w:val="30"/>
          <w:szCs w:val="30"/>
        </w:rPr>
        <w:t>0</w:t>
      </w:r>
      <w:r>
        <w:rPr>
          <w:rFonts w:ascii="仿宋_GB2312" w:eastAsia="仿宋_GB2312"/>
          <w:sz w:val="30"/>
          <w:szCs w:val="30"/>
        </w:rPr>
        <w:t>.00</w:t>
      </w:r>
      <w:r>
        <w:rPr>
          <w:rFonts w:hint="eastAsia" w:ascii="仿宋_GB2312" w:hAnsi="宋体" w:eastAsia="仿宋_GB2312" w:cs="Arial"/>
          <w:kern w:val="0"/>
          <w:sz w:val="30"/>
          <w:szCs w:val="30"/>
        </w:rPr>
        <w:t>元，占总支出的</w:t>
      </w:r>
      <w:r>
        <w:rPr>
          <w:rFonts w:hint="eastAsia" w:ascii="仿宋_GB2312" w:eastAsia="仿宋_GB2312"/>
          <w:sz w:val="30"/>
          <w:szCs w:val="30"/>
        </w:rPr>
        <w:t>0</w:t>
      </w:r>
      <w:r>
        <w:rPr>
          <w:rFonts w:ascii="仿宋_GB2312" w:eastAsia="仿宋_GB2312"/>
          <w:sz w:val="30"/>
          <w:szCs w:val="30"/>
        </w:rPr>
        <w:t>.00</w:t>
      </w:r>
      <w:r>
        <w:rPr>
          <w:rFonts w:hint="eastAsia" w:ascii="仿宋_GB2312" w:hAnsi="宋体" w:eastAsia="仿宋_GB2312" w:cs="Arial"/>
          <w:kern w:val="0"/>
          <w:sz w:val="30"/>
          <w:szCs w:val="30"/>
        </w:rPr>
        <w:t>％。</w:t>
      </w:r>
      <w:r>
        <w:rPr>
          <w:rFonts w:hint="eastAsia" w:ascii="仿宋_GB2312" w:eastAsia="仿宋_GB2312"/>
          <w:sz w:val="30"/>
          <w:szCs w:val="30"/>
        </w:rPr>
        <w:t>与上年相比，支出合计减少431,460.47元，下降</w:t>
      </w:r>
      <w:r>
        <w:rPr>
          <w:rFonts w:ascii="仿宋_GB2312" w:eastAsia="仿宋_GB2312"/>
          <w:sz w:val="30"/>
          <w:szCs w:val="30"/>
        </w:rPr>
        <w:t>12.38</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增加49,663.85元，增长3.25%；项目支出减少481</w:t>
      </w:r>
      <w:r>
        <w:rPr>
          <w:rFonts w:hint="eastAsia" w:ascii="仿宋_GB2312" w:eastAsia="仿宋_GB2312"/>
          <w:sz w:val="30"/>
          <w:szCs w:val="30"/>
          <w:lang w:val="en-US" w:eastAsia="zh-CN"/>
        </w:rPr>
        <w:t>,</w:t>
      </w:r>
      <w:r>
        <w:rPr>
          <w:rFonts w:hint="eastAsia" w:ascii="仿宋_GB2312" w:eastAsia="仿宋_GB2312"/>
          <w:sz w:val="30"/>
          <w:szCs w:val="30"/>
        </w:rPr>
        <w:t>124.26元，下降24.57%；上缴上级支出增加0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%；经营支出增加0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%；对附属单位补助支出增加0</w:t>
      </w:r>
      <w:r>
        <w:rPr>
          <w:rFonts w:ascii="仿宋_GB2312" w:eastAsia="仿宋_GB2312"/>
          <w:sz w:val="30"/>
          <w:szCs w:val="30"/>
        </w:rPr>
        <w:t>.00</w:t>
      </w:r>
      <w:r>
        <w:rPr>
          <w:rFonts w:hint="eastAsia" w:ascii="仿宋_GB2312" w:eastAsia="仿宋_GB2312"/>
          <w:sz w:val="30"/>
          <w:szCs w:val="30"/>
        </w:rPr>
        <w:t>元，增长0</w:t>
      </w:r>
      <w:r>
        <w:rPr>
          <w:rFonts w:ascii="仿宋_GB2312" w:eastAsia="仿宋_GB2312"/>
          <w:sz w:val="30"/>
          <w:szCs w:val="30"/>
        </w:rPr>
        <w:t>.00</w:t>
      </w:r>
      <w:r>
        <w:rPr>
          <w:rFonts w:hint="eastAsia" w:ascii="仿宋_GB2312" w:eastAsia="仿宋_GB2312"/>
          <w:sz w:val="30"/>
          <w:szCs w:val="30"/>
        </w:rPr>
        <w:t>%。</w:t>
      </w:r>
      <w:r>
        <w:rPr>
          <w:rFonts w:hint="eastAsia" w:ascii="仿宋_GB2312" w:eastAsia="仿宋_GB2312"/>
          <w:sz w:val="30"/>
          <w:szCs w:val="30"/>
          <w:lang w:val="en-US" w:eastAsia="zh-CN"/>
        </w:rPr>
        <w:t>主要原因是</w:t>
      </w:r>
      <w:r>
        <w:rPr>
          <w:rFonts w:hint="eastAsia" w:ascii="仿宋_GB2312" w:eastAsia="仿宋_GB2312"/>
          <w:sz w:val="30"/>
          <w:szCs w:val="30"/>
          <w:lang w:eastAsia="zh-CN"/>
        </w:rPr>
        <w:t>全年项目支出减少，因为本年支出较上年减少。</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仿宋_GB2312" w:eastAsia="仿宋_GB2312"/>
          <w:sz w:val="30"/>
          <w:szCs w:val="30"/>
        </w:rPr>
      </w:pPr>
      <w:r>
        <w:rPr>
          <w:rFonts w:hint="eastAsia" w:ascii="仿宋_GB2312" w:eastAsia="仿宋_GB2312"/>
          <w:sz w:val="30"/>
          <w:szCs w:val="30"/>
        </w:rPr>
        <w:t>2022年度用于保障玉溪市红塔区文物管理所机关、下属事业单位等机构正常运转的日常支出1,577,964.70元。其中：基本工资、津贴补贴等人员经费支出1,519,548.84元，占基本支出的96.30％；办公费、印刷费、水电费、办公设备购置等公用经费58,415.86元，占基本支出的3.70％。</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2022年度用于保障玉溪市红塔区文物管理所为完成特定的事业发展目标，用于专项业务工作的经费支出1</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476</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754.74元。其中：基本建设类项目支出0</w:t>
      </w:r>
      <w:r>
        <w:rPr>
          <w:rFonts w:ascii="仿宋_GB2312" w:hAnsi="宋体" w:eastAsia="仿宋_GB2312" w:cs="Arial"/>
          <w:kern w:val="0"/>
          <w:sz w:val="30"/>
          <w:szCs w:val="30"/>
        </w:rPr>
        <w:t>.00</w:t>
      </w:r>
      <w:r>
        <w:rPr>
          <w:rFonts w:hint="eastAsia" w:ascii="仿宋_GB2312" w:hAnsi="宋体" w:eastAsia="仿宋_GB2312" w:cs="Arial"/>
          <w:kern w:val="0"/>
          <w:sz w:val="30"/>
          <w:szCs w:val="30"/>
        </w:rPr>
        <w:t>元。具体项目开支及开展工作情况如下：</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1</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2022年玉溪窑址保护利用设施项目全年支出</w:t>
      </w:r>
      <w:r>
        <w:rPr>
          <w:rFonts w:hint="eastAsia" w:ascii="仿宋_GB2312" w:hAnsi="宋体" w:eastAsia="仿宋_GB2312" w:cs="Arial"/>
          <w:kern w:val="0"/>
          <w:sz w:val="30"/>
          <w:szCs w:val="30"/>
          <w:lang w:val="en-US" w:eastAsia="zh-CN"/>
        </w:rPr>
        <w:t>149,433.52</w:t>
      </w:r>
      <w:r>
        <w:rPr>
          <w:rFonts w:hint="eastAsia" w:ascii="仿宋_GB2312" w:hAnsi="宋体" w:eastAsia="仿宋_GB2312" w:cs="Arial"/>
          <w:kern w:val="0"/>
          <w:sz w:val="30"/>
          <w:szCs w:val="30"/>
        </w:rPr>
        <w:t>元，项目已完成前期工作，并签订室外工程施工合同。</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w:t>
      </w:r>
      <w:r>
        <w:rPr>
          <w:rFonts w:hint="eastAsia" w:ascii="仿宋_GB2312" w:hAnsi="宋体" w:eastAsia="仿宋_GB2312" w:cs="Arial"/>
          <w:kern w:val="0"/>
          <w:sz w:val="30"/>
          <w:szCs w:val="30"/>
        </w:rPr>
        <w:t>玉溪窑址博物馆文物库房建设项目全年支出</w:t>
      </w:r>
      <w:r>
        <w:rPr>
          <w:rFonts w:hint="eastAsia" w:ascii="仿宋_GB2312" w:hAnsi="宋体" w:eastAsia="仿宋_GB2312" w:cs="Arial"/>
          <w:kern w:val="0"/>
          <w:sz w:val="30"/>
          <w:szCs w:val="30"/>
          <w:lang w:val="en-US" w:eastAsia="zh-CN"/>
        </w:rPr>
        <w:t>173,045.80</w:t>
      </w:r>
      <w:r>
        <w:rPr>
          <w:rFonts w:hint="eastAsia" w:ascii="仿宋_GB2312" w:hAnsi="宋体" w:eastAsia="仿宋_GB2312" w:cs="Arial"/>
          <w:kern w:val="0"/>
          <w:sz w:val="30"/>
          <w:szCs w:val="30"/>
        </w:rPr>
        <w:t>元，项目已完成验收并已结算审计结清尾款，库房已投入使用。</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lang w:val="en-US" w:eastAsia="zh-CN"/>
        </w:rPr>
        <w:t>3.</w:t>
      </w:r>
      <w:r>
        <w:rPr>
          <w:rFonts w:ascii="仿宋_GB2312" w:hAnsi="宋体" w:eastAsia="仿宋_GB2312" w:cs="Arial"/>
          <w:kern w:val="0"/>
          <w:sz w:val="30"/>
          <w:szCs w:val="30"/>
        </w:rPr>
        <w:t>区级文物保护</w:t>
      </w:r>
      <w:r>
        <w:rPr>
          <w:rFonts w:hint="eastAsia" w:ascii="仿宋_GB2312" w:hAnsi="宋体" w:eastAsia="仿宋_GB2312" w:cs="Arial"/>
          <w:kern w:val="0"/>
          <w:sz w:val="30"/>
          <w:szCs w:val="30"/>
        </w:rPr>
        <w:t>项目全年支出</w:t>
      </w:r>
      <w:r>
        <w:rPr>
          <w:rFonts w:hint="eastAsia" w:ascii="仿宋_GB2312" w:hAnsi="宋体" w:eastAsia="仿宋_GB2312" w:cs="Arial"/>
          <w:kern w:val="0"/>
          <w:sz w:val="30"/>
          <w:szCs w:val="30"/>
          <w:lang w:val="en-US" w:eastAsia="zh-CN"/>
        </w:rPr>
        <w:t>16,860.00</w:t>
      </w:r>
      <w:r>
        <w:rPr>
          <w:rFonts w:hint="eastAsia" w:ascii="仿宋_GB2312" w:hAnsi="宋体" w:eastAsia="仿宋_GB2312" w:cs="Arial"/>
          <w:kern w:val="0"/>
          <w:sz w:val="30"/>
          <w:szCs w:val="30"/>
        </w:rPr>
        <w:t>元，已配置50套灭火器材到各乡街道文物保护单位。</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2022年玉溪市红塔区聂耳故居纪念馆免费开放项目全年支出</w:t>
      </w:r>
      <w:r>
        <w:rPr>
          <w:rFonts w:hint="eastAsia" w:ascii="仿宋_GB2312" w:hAnsi="宋体" w:eastAsia="仿宋_GB2312" w:cs="Arial"/>
          <w:kern w:val="0"/>
          <w:sz w:val="30"/>
          <w:szCs w:val="30"/>
          <w:lang w:val="en-US" w:eastAsia="zh-CN"/>
        </w:rPr>
        <w:t>57,889.17</w:t>
      </w:r>
      <w:r>
        <w:rPr>
          <w:rFonts w:hint="eastAsia" w:ascii="仿宋_GB2312" w:hAnsi="宋体" w:eastAsia="仿宋_GB2312" w:cs="Arial"/>
          <w:kern w:val="0"/>
          <w:sz w:val="30"/>
          <w:szCs w:val="30"/>
        </w:rPr>
        <w:t>元，全年开放不少于300天，参观人次2.66万人；完成了开放运行及安全保障工作。</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5.</w:t>
      </w:r>
      <w:r>
        <w:rPr>
          <w:rFonts w:hint="eastAsia" w:ascii="仿宋_GB2312" w:hAnsi="宋体" w:eastAsia="仿宋_GB2312" w:cs="Arial"/>
          <w:kern w:val="0"/>
          <w:sz w:val="30"/>
          <w:szCs w:val="30"/>
        </w:rPr>
        <w:t>编外人员工资项目全年支出</w:t>
      </w:r>
      <w:r>
        <w:rPr>
          <w:rFonts w:hint="eastAsia" w:ascii="仿宋_GB2312" w:hAnsi="宋体" w:eastAsia="仿宋_GB2312" w:cs="Arial"/>
          <w:kern w:val="0"/>
          <w:sz w:val="30"/>
          <w:szCs w:val="30"/>
          <w:lang w:val="en-US" w:eastAsia="zh-CN"/>
        </w:rPr>
        <w:t>312,000.00</w:t>
      </w:r>
      <w:r>
        <w:rPr>
          <w:rFonts w:hint="eastAsia" w:ascii="仿宋_GB2312" w:hAnsi="宋体" w:eastAsia="仿宋_GB2312" w:cs="Arial"/>
          <w:kern w:val="0"/>
          <w:sz w:val="30"/>
          <w:szCs w:val="30"/>
        </w:rPr>
        <w:t>元，保障了红塔区聂耳故居纪念馆、红塔区其它博物馆的免费开放正常运行及安全工作。</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6.玉溪窑址3号龙窑遗迹保护设施改造及展示工程补助经费200,000.00元。</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7.玉溪文兴祥修缮工程进度款500,000.00元。</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8.大营街部分文物保护单位郭家宅和王家宅修缮方案编制经费33,100.00元。</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9.文物保护先传费15,075.00元。</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ascii="仿宋_GB2312" w:eastAsia="仿宋_GB2312"/>
          <w:sz w:val="30"/>
          <w:szCs w:val="30"/>
        </w:rPr>
      </w:pPr>
      <w:r>
        <w:rPr>
          <w:rFonts w:hint="eastAsia" w:ascii="仿宋_GB2312" w:hAnsi="宋体" w:eastAsia="仿宋_GB2312" w:cs="Arial"/>
          <w:kern w:val="0"/>
          <w:sz w:val="30"/>
          <w:szCs w:val="30"/>
          <w:lang w:val="en-US" w:eastAsia="zh-CN"/>
        </w:rPr>
        <w:t>10.聂耳和国歌传习中心项目工作经费19,351.25元。</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bookmarkStart w:id="0" w:name="_GoBack"/>
      <w:bookmarkEnd w:id="0"/>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ascii="仿宋_GB2312" w:hAnsi="宋体" w:eastAsia="仿宋_GB2312" w:cs="Arial"/>
          <w:kern w:val="0"/>
          <w:sz w:val="30"/>
          <w:szCs w:val="30"/>
        </w:rPr>
        <w:t>玉溪市红塔区文物管理所2022年度一般公共预算财政拨款支出3,020,293.19元，占本年支出合计的98.87%。与上年相比减少436,037.62元，下降12.62%</w:t>
      </w:r>
      <w:r>
        <w:rPr>
          <w:rFonts w:hint="eastAsia" w:ascii="仿宋_GB2312" w:eastAsia="仿宋_GB2312"/>
          <w:sz w:val="30"/>
          <w:szCs w:val="30"/>
        </w:rPr>
        <w:t>,主要</w:t>
      </w:r>
      <w:r>
        <w:rPr>
          <w:rFonts w:hint="eastAsia" w:ascii="仿宋_GB2312" w:hAnsi="宋体" w:eastAsia="仿宋_GB2312" w:cs="Arial"/>
          <w:kern w:val="0"/>
          <w:sz w:val="30"/>
          <w:szCs w:val="30"/>
        </w:rPr>
        <w:t>原因</w:t>
      </w:r>
      <w:r>
        <w:rPr>
          <w:rFonts w:hint="eastAsia" w:ascii="仿宋_GB2312" w:hAnsi="宋体" w:eastAsia="仿宋_GB2312" w:cs="Arial"/>
          <w:kern w:val="0"/>
          <w:sz w:val="30"/>
          <w:szCs w:val="30"/>
          <w:lang w:val="en-US" w:eastAsia="zh-CN"/>
        </w:rPr>
        <w:t>是</w:t>
      </w:r>
      <w:r>
        <w:rPr>
          <w:rFonts w:hint="eastAsia" w:ascii="仿宋_GB2312" w:hAnsi="宋体" w:eastAsia="仿宋_GB2312" w:cs="Arial"/>
          <w:kern w:val="0"/>
          <w:sz w:val="30"/>
          <w:szCs w:val="30"/>
        </w:rPr>
        <w:t>项目支出减少。</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rPr>
        <w:t>1.一般公共服务（类）支出0.00元，</w:t>
      </w:r>
      <w:r>
        <w:rPr>
          <w:rFonts w:hint="eastAsia" w:ascii="仿宋_GB2312" w:eastAsia="仿宋_GB2312"/>
          <w:sz w:val="30"/>
          <w:szCs w:val="30"/>
        </w:rPr>
        <w:t>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4.公共安全（类）支出</w:t>
      </w:r>
      <w:r>
        <w:rPr>
          <w:rFonts w:hint="eastAsia" w:ascii="仿宋_GB2312" w:eastAsia="仿宋_GB2312"/>
          <w:sz w:val="30"/>
          <w:szCs w:val="30"/>
        </w:rPr>
        <w:t>0.</w:t>
      </w:r>
      <w:r>
        <w:rPr>
          <w:rFonts w:hint="eastAsia" w:ascii="仿宋_GB2312" w:eastAsia="仿宋_GB2312"/>
          <w:sz w:val="30"/>
          <w:szCs w:val="30"/>
          <w:lang w:val="en-US" w:eastAsia="zh-CN"/>
        </w:rPr>
        <w:t>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5.教育（类）支出0.00元，占一般公共预算财政拨款总支出的0.00%。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6.科学技术（类）支出0.00元，占一般公共预算财政拨款总支出的0.00%。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snapToGrid w:val="0"/>
        <w:spacing w:after="0" w:line="600" w:lineRule="exact"/>
        <w:ind w:firstLine="600" w:firstLineChars="200"/>
        <w:jc w:val="left"/>
        <w:textAlignment w:val="auto"/>
        <w:rPr>
          <w:rFonts w:hint="eastAsia" w:ascii="仿宋_GB2312" w:hAnsi="宋体" w:eastAsia="仿宋_GB2312" w:cs="Arial"/>
          <w:kern w:val="0"/>
          <w:sz w:val="30"/>
          <w:szCs w:val="30"/>
          <w:lang w:eastAsia="zh-CN"/>
        </w:rPr>
      </w:pPr>
      <w:r>
        <w:rPr>
          <w:rFonts w:ascii="仿宋_GB2312" w:hAnsi="宋体" w:eastAsia="仿宋_GB2312" w:cs="Arial"/>
          <w:kern w:val="0"/>
          <w:sz w:val="30"/>
          <w:szCs w:val="30"/>
        </w:rPr>
        <w:t>7.文化旅游体育与传媒（类）支出2,573,088.89元，占一般公共预算财政拨款总支出的85.19%。主要用于</w:t>
      </w:r>
      <w:r>
        <w:rPr>
          <w:rFonts w:hint="eastAsia" w:ascii="仿宋_GB2312" w:hAnsi="宋体" w:eastAsia="仿宋_GB2312" w:cs="Arial"/>
          <w:kern w:val="0"/>
          <w:sz w:val="30"/>
          <w:szCs w:val="30"/>
        </w:rPr>
        <w:t>2070199其他文化和旅游支出149</w:t>
      </w:r>
      <w:r>
        <w:rPr>
          <w:rFonts w:ascii="仿宋_GB2312" w:hAnsi="宋体" w:eastAsia="仿宋_GB2312" w:cs="Arial"/>
          <w:kern w:val="0"/>
          <w:sz w:val="30"/>
          <w:szCs w:val="30"/>
        </w:rPr>
        <w:t>,</w:t>
      </w:r>
      <w:r>
        <w:rPr>
          <w:rFonts w:hint="eastAsia" w:ascii="仿宋_GB2312" w:hAnsi="宋体" w:eastAsia="仿宋_GB2312" w:cs="Arial"/>
          <w:kern w:val="0"/>
          <w:sz w:val="30"/>
          <w:szCs w:val="30"/>
        </w:rPr>
        <w:t>433.52元，2070204文物保护769,960元，2070205博物馆230,934.97元，2070299其他文物支出1,442,760,40元</w:t>
      </w:r>
      <w:r>
        <w:rPr>
          <w:rFonts w:hint="eastAsia" w:ascii="仿宋_GB2312" w:hAnsi="宋体" w:eastAsia="仿宋_GB2312" w:cs="Arial"/>
          <w:kern w:val="0"/>
          <w:sz w:val="30"/>
          <w:szCs w:val="30"/>
          <w:lang w:eastAsia="zh-CN"/>
        </w:rPr>
        <w:t>；</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hint="eastAsia" w:ascii="仿宋_GB2312" w:hAnsi="宋体" w:eastAsia="仿宋_GB2312" w:cs="Arial"/>
          <w:kern w:val="0"/>
          <w:sz w:val="30"/>
          <w:szCs w:val="30"/>
          <w:lang w:eastAsia="zh-CN"/>
        </w:rPr>
      </w:pPr>
      <w:r>
        <w:rPr>
          <w:rFonts w:ascii="仿宋_GB2312" w:hAnsi="宋体" w:eastAsia="仿宋_GB2312" w:cs="Arial"/>
          <w:kern w:val="0"/>
          <w:sz w:val="30"/>
          <w:szCs w:val="30"/>
        </w:rPr>
        <w:t>8.社会保障和就业（类）支出182,864.81元，占一般公共预算财政拨款总支出的6.05%。</w:t>
      </w:r>
      <w:r>
        <w:rPr>
          <w:rFonts w:hint="eastAsia" w:ascii="仿宋_GB2312" w:hAnsi="宋体" w:eastAsia="仿宋_GB2312" w:cs="Arial"/>
          <w:kern w:val="0"/>
          <w:sz w:val="30"/>
          <w:szCs w:val="30"/>
        </w:rPr>
        <w:t>主要用于玉溪市红塔区文物管理所职工社会保险缴纳</w:t>
      </w:r>
      <w:r>
        <w:rPr>
          <w:rFonts w:hint="eastAsia" w:ascii="仿宋_GB2312" w:hAnsi="宋体" w:eastAsia="仿宋_GB2312" w:cs="Arial"/>
          <w:kern w:val="0"/>
          <w:sz w:val="30"/>
          <w:szCs w:val="30"/>
          <w:lang w:eastAsia="zh-CN"/>
        </w:rPr>
        <w:t>；</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hint="eastAsia" w:ascii="仿宋_GB2312" w:hAnsi="宋体" w:eastAsia="仿宋_GB2312" w:cs="Arial"/>
          <w:kern w:val="0"/>
          <w:sz w:val="30"/>
          <w:szCs w:val="30"/>
          <w:lang w:eastAsia="zh-CN"/>
        </w:rPr>
      </w:pPr>
      <w:r>
        <w:rPr>
          <w:rFonts w:ascii="仿宋_GB2312" w:hAnsi="宋体" w:eastAsia="仿宋_GB2312" w:cs="Arial"/>
          <w:kern w:val="0"/>
          <w:sz w:val="30"/>
          <w:szCs w:val="30"/>
        </w:rPr>
        <w:t>9.卫生健康（类）支出116,843.49元，占一般公共</w:t>
      </w:r>
      <w:r>
        <w:rPr>
          <w:rFonts w:hint="eastAsia" w:ascii="仿宋_GB2312" w:hAnsi="宋体" w:eastAsia="仿宋_GB2312" w:cs="Arial"/>
          <w:kern w:val="0"/>
          <w:sz w:val="30"/>
          <w:szCs w:val="30"/>
          <w:lang w:val="en-US" w:eastAsia="zh-CN"/>
        </w:rPr>
        <w:t>预算财政拨款总支出的3.87%，主要用于</w:t>
      </w:r>
      <w:r>
        <w:rPr>
          <w:rFonts w:hint="eastAsia" w:ascii="仿宋_GB2312" w:hAnsi="宋体" w:eastAsia="仿宋_GB2312" w:cs="Arial"/>
          <w:kern w:val="0"/>
          <w:sz w:val="30"/>
          <w:szCs w:val="30"/>
        </w:rPr>
        <w:t>职工社会保险缴纳</w:t>
      </w:r>
      <w:r>
        <w:rPr>
          <w:rFonts w:hint="eastAsia" w:ascii="仿宋_GB2312" w:hAnsi="宋体" w:eastAsia="仿宋_GB2312" w:cs="Arial"/>
          <w:kern w:val="0"/>
          <w:sz w:val="30"/>
          <w:szCs w:val="30"/>
          <w:lang w:eastAsia="zh-CN"/>
        </w:rPr>
        <w:t>；</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10.节能环保（类）支出0.00元，占一般公共预算财政拨款总支出的0.00%。</w:t>
      </w:r>
      <w:r>
        <w:rPr>
          <w:rFonts w:hint="eastAsia" w:ascii="仿宋_GB2312" w:eastAsia="仿宋_GB2312"/>
          <w:sz w:val="30"/>
          <w:szCs w:val="30"/>
          <w:lang w:val="en-US" w:eastAsia="zh-CN"/>
        </w:rPr>
        <w:t>我单位无此项支出</w:t>
      </w:r>
      <w:r>
        <w:rPr>
          <w:rFonts w:ascii="仿宋_GB2312" w:hAnsi="宋体" w:eastAsia="仿宋_GB2312" w:cs="Arial"/>
          <w:kern w:val="0"/>
          <w:sz w:val="30"/>
          <w:szCs w:val="30"/>
        </w:rPr>
        <w:t>；</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11.城乡社区（类）支出0.00元，占一般公共预算财政拨款总支出的0.00%。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12.农林水（类）支出0.00元，占一般公共预算财政拨款总支出的0.00%。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13.交通运输（类）支出0.00元，占一般公共预算财政拨款总支出的0.00%。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14.资源勘探工业信息等（类）支出类0.00元，占一般公共预算财政拨款总支出的0.00%。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15.商业服务业等（类）支出0.00元，占一般公共预算财政拨款总支出的0.00%。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16.金融（类）支出0.00元，占一般公共预算财政拨款总支出的0.00%。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17.援助其他地区（类）支出0.00元，占一般公共预算财政拨款总支出的0.00%。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18.自然资源海洋气象等（类）支出0.00元，占一般公共预算财政拨款总支出的0.00%。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hint="eastAsia" w:ascii="仿宋_GB2312" w:hAnsi="宋体" w:eastAsia="仿宋_GB2312" w:cs="Arial"/>
          <w:kern w:val="0"/>
          <w:sz w:val="30"/>
          <w:szCs w:val="30"/>
          <w:lang w:eastAsia="zh-CN"/>
        </w:rPr>
      </w:pPr>
      <w:r>
        <w:rPr>
          <w:rFonts w:ascii="仿宋_GB2312" w:hAnsi="宋体" w:eastAsia="仿宋_GB2312" w:cs="Arial"/>
          <w:kern w:val="0"/>
          <w:sz w:val="30"/>
          <w:szCs w:val="30"/>
        </w:rPr>
        <w:t>19.住房保障（类）支出147,496.00元，占一般公共预算财政拨款总支出的4.88%。主要用于</w:t>
      </w:r>
      <w:r>
        <w:rPr>
          <w:rFonts w:hint="eastAsia" w:ascii="仿宋_GB2312" w:hAnsi="宋体" w:eastAsia="仿宋_GB2312" w:cs="Arial"/>
          <w:kern w:val="0"/>
          <w:sz w:val="30"/>
          <w:szCs w:val="30"/>
        </w:rPr>
        <w:t>玉溪市红塔区文物管理所职工公积金缴纳</w:t>
      </w:r>
      <w:r>
        <w:rPr>
          <w:rFonts w:hint="eastAsia" w:ascii="仿宋_GB2312" w:hAnsi="宋体" w:eastAsia="仿宋_GB2312" w:cs="Arial"/>
          <w:kern w:val="0"/>
          <w:sz w:val="30"/>
          <w:szCs w:val="30"/>
          <w:lang w:eastAsia="zh-CN"/>
        </w:rPr>
        <w:t>；</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20.粮油物资储备（类）支出0.00元，占一般公共预算财政拨款总支出的0.00%。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21.国有资本经营预算（类）支出0.00元，占一般公共预算财政拨款总支出的0.00%。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22.灾害防治及应急管理（类）支出0.00元，占一般公共预算财政拨款总支出的0.00%。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23.其他（类）支出0.00元，占一般公共预算财政拨款总支出的0.00%。</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24.债务还本（类）支出0.00元，占一般公共预算财政拨款总支出的0.00%。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hAnsi="宋体" w:eastAsia="仿宋_GB2312" w:cs="Arial"/>
          <w:kern w:val="0"/>
          <w:sz w:val="30"/>
          <w:szCs w:val="30"/>
        </w:rPr>
      </w:pPr>
      <w:r>
        <w:rPr>
          <w:rFonts w:ascii="仿宋_GB2312" w:hAnsi="宋体" w:eastAsia="仿宋_GB2312" w:cs="Arial"/>
          <w:kern w:val="0"/>
          <w:sz w:val="30"/>
          <w:szCs w:val="30"/>
        </w:rPr>
        <w:t>25.债务付息（类）支出0.00元，占一般公共预算财政拨款总支出的0.00%。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kinsoku/>
        <w:overflowPunct/>
        <w:topLinePunct w:val="0"/>
        <w:bidi w:val="0"/>
        <w:adjustRightInd w:val="0"/>
        <w:snapToGrid w:val="0"/>
        <w:spacing w:after="0" w:line="600" w:lineRule="exact"/>
        <w:ind w:firstLine="600" w:firstLineChars="200"/>
        <w:jc w:val="left"/>
        <w:textAlignment w:val="auto"/>
        <w:rPr>
          <w:rFonts w:ascii="仿宋_GB2312" w:eastAsia="仿宋_GB2312"/>
          <w:color w:val="FF0000"/>
          <w:sz w:val="30"/>
          <w:szCs w:val="30"/>
        </w:rPr>
      </w:pPr>
      <w:r>
        <w:rPr>
          <w:rFonts w:ascii="仿宋_GB2312" w:hAnsi="宋体" w:eastAsia="仿宋_GB2312" w:cs="Arial"/>
          <w:kern w:val="0"/>
          <w:sz w:val="30"/>
          <w:szCs w:val="30"/>
        </w:rPr>
        <w:t>26.抗疫特别国债安排（类）支出0.00元，占一般公共预算财政拨款总支出的0.00%。</w:t>
      </w:r>
      <w:r>
        <w:rPr>
          <w:rFonts w:hint="eastAsia" w:ascii="仿宋_GB2312" w:eastAsia="仿宋_GB2312"/>
          <w:sz w:val="30"/>
          <w:szCs w:val="30"/>
          <w:lang w:val="en-US" w:eastAsia="zh-CN"/>
        </w:rPr>
        <w:t>我单位无此项支出。</w:t>
      </w:r>
    </w:p>
    <w:p>
      <w:pPr>
        <w:keepNext w:val="0"/>
        <w:keepLines w:val="0"/>
        <w:pageBreakBefore w:val="0"/>
        <w:widowControl/>
        <w:numPr>
          <w:ilvl w:val="0"/>
          <w:numId w:val="2"/>
        </w:numPr>
        <w:kinsoku/>
        <w:overflowPunct/>
        <w:topLinePunct w:val="0"/>
        <w:bidi w:val="0"/>
        <w:snapToGrid w:val="0"/>
        <w:spacing w:after="0"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财政拨款“三公”经费支出决算情况说明</w:t>
      </w:r>
    </w:p>
    <w:p>
      <w:pPr>
        <w:keepNext w:val="0"/>
        <w:keepLines w:val="0"/>
        <w:pageBreakBefore w:val="0"/>
        <w:kinsoku/>
        <w:overflowPunct/>
        <w:topLinePunct w:val="0"/>
        <w:bidi w:val="0"/>
        <w:spacing w:after="0" w:line="600" w:lineRule="exact"/>
        <w:ind w:firstLine="600" w:firstLineChars="200"/>
        <w:textAlignment w:val="auto"/>
        <w:rPr>
          <w:rFonts w:ascii="仿宋_GB2312" w:eastAsia="仿宋_GB2312"/>
          <w:color w:val="FF0000"/>
          <w:sz w:val="30"/>
          <w:szCs w:val="30"/>
        </w:rPr>
      </w:pPr>
      <w:r>
        <w:rPr>
          <w:rFonts w:hint="eastAsia" w:ascii="仿宋_GB2312" w:hAnsi="宋体" w:eastAsia="仿宋_GB2312" w:cs="Arial"/>
          <w:kern w:val="0"/>
          <w:sz w:val="30"/>
          <w:szCs w:val="30"/>
        </w:rPr>
        <w:t>2022年度财政拨款“三公”经费支出决算中，财政拨款“三公”经费支出年初预算为22,100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元，支出决算为430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元，完成年初预算的0.02%。其中：因公出国（境）费支出决算0</w:t>
      </w:r>
      <w:r>
        <w:rPr>
          <w:rFonts w:ascii="仿宋_GB2312" w:hAnsi="宋体" w:eastAsia="仿宋_GB2312" w:cs="Arial"/>
          <w:kern w:val="0"/>
          <w:sz w:val="30"/>
          <w:szCs w:val="30"/>
        </w:rPr>
        <w:t>.00</w:t>
      </w:r>
      <w:r>
        <w:rPr>
          <w:rFonts w:hint="eastAsia" w:ascii="仿宋_GB2312" w:hAnsi="宋体" w:eastAsia="仿宋_GB2312" w:cs="Arial"/>
          <w:kern w:val="0"/>
          <w:sz w:val="30"/>
          <w:szCs w:val="30"/>
        </w:rPr>
        <w:t>元，占总支出决算的0.00%；公务用车购置费支出决算0.00元，占总支出决算的0.00%；公务用车运行维护费支出决算0.00元，占总支出决算的0.00%；公务接待费支出决算430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元，占总支出决算的100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%，具体是国内接待费支出决算430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元（其中：外事接待费支出决算0.00元），国（境）外接待费支出决算0.00元。明细如下：全年接待1批8人。</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玉溪市红塔区文物管理所2022年度一般公共预算财政拨款“三公”经费支出</w:t>
      </w:r>
      <w:r>
        <w:rPr>
          <w:rFonts w:hint="eastAsia" w:ascii="仿宋_GB2312" w:hAnsi="宋体" w:eastAsia="仿宋_GB2312" w:cs="Arial"/>
          <w:kern w:val="0"/>
          <w:sz w:val="30"/>
          <w:szCs w:val="30"/>
        </w:rPr>
        <w:t>年初</w:t>
      </w:r>
      <w:r>
        <w:rPr>
          <w:rFonts w:hint="eastAsia" w:ascii="仿宋_GB2312" w:eastAsia="仿宋_GB2312"/>
          <w:sz w:val="30"/>
          <w:szCs w:val="30"/>
        </w:rPr>
        <w:t>预算为</w:t>
      </w:r>
      <w:r>
        <w:rPr>
          <w:rFonts w:hint="eastAsia" w:ascii="仿宋_GB2312" w:hAnsi="宋体" w:eastAsia="仿宋_GB2312" w:cs="Arial"/>
          <w:kern w:val="0"/>
          <w:sz w:val="30"/>
          <w:szCs w:val="30"/>
        </w:rPr>
        <w:t>22,100</w:t>
      </w:r>
      <w:r>
        <w:rPr>
          <w:rFonts w:hint="eastAsia" w:ascii="仿宋_GB2312" w:hAnsi="宋体" w:eastAsia="仿宋_GB2312" w:cs="Arial"/>
          <w:kern w:val="0"/>
          <w:sz w:val="30"/>
          <w:szCs w:val="30"/>
          <w:lang w:val="en-US" w:eastAsia="zh-CN"/>
        </w:rPr>
        <w:t>.00</w:t>
      </w:r>
      <w:r>
        <w:rPr>
          <w:rFonts w:hint="eastAsia" w:ascii="仿宋_GB2312" w:eastAsia="仿宋_GB2312"/>
          <w:sz w:val="30"/>
          <w:szCs w:val="30"/>
        </w:rPr>
        <w:t>元，支出决算为430</w:t>
      </w:r>
      <w:r>
        <w:rPr>
          <w:rFonts w:hint="eastAsia" w:ascii="仿宋_GB2312" w:eastAsia="仿宋_GB2312"/>
          <w:sz w:val="30"/>
          <w:szCs w:val="30"/>
          <w:lang w:val="en-US" w:eastAsia="zh-CN"/>
        </w:rPr>
        <w:t>.00</w:t>
      </w:r>
      <w:r>
        <w:rPr>
          <w:rFonts w:hint="eastAsia" w:ascii="仿宋_GB2312" w:eastAsia="仿宋_GB2312"/>
          <w:sz w:val="30"/>
          <w:szCs w:val="30"/>
        </w:rPr>
        <w:t>元，完成</w:t>
      </w:r>
      <w:r>
        <w:rPr>
          <w:rFonts w:hint="eastAsia" w:ascii="仿宋_GB2312" w:hAnsi="宋体" w:eastAsia="仿宋_GB2312" w:cs="Arial"/>
          <w:kern w:val="0"/>
          <w:sz w:val="30"/>
          <w:szCs w:val="30"/>
        </w:rPr>
        <w:t>年初</w:t>
      </w:r>
      <w:r>
        <w:rPr>
          <w:rFonts w:hint="eastAsia" w:ascii="仿宋_GB2312" w:eastAsia="仿宋_GB2312"/>
          <w:sz w:val="30"/>
          <w:szCs w:val="30"/>
        </w:rPr>
        <w:t>预算的0.02%。其中：因公出国（境）费支出决算为0.00元，完成</w:t>
      </w:r>
      <w:r>
        <w:rPr>
          <w:rFonts w:hint="eastAsia" w:ascii="仿宋_GB2312" w:hAnsi="宋体" w:eastAsia="仿宋_GB2312" w:cs="Arial"/>
          <w:kern w:val="0"/>
          <w:sz w:val="30"/>
          <w:szCs w:val="30"/>
        </w:rPr>
        <w:t>年初</w:t>
      </w:r>
      <w:r>
        <w:rPr>
          <w:rFonts w:hint="eastAsia" w:ascii="仿宋_GB2312" w:eastAsia="仿宋_GB2312"/>
          <w:sz w:val="30"/>
          <w:szCs w:val="30"/>
        </w:rPr>
        <w:t>预算的0.00%；公务用车购置费支出决算为0.00元，完成</w:t>
      </w:r>
      <w:r>
        <w:rPr>
          <w:rFonts w:hint="eastAsia" w:ascii="仿宋_GB2312" w:hAnsi="宋体" w:eastAsia="仿宋_GB2312" w:cs="Arial"/>
          <w:kern w:val="0"/>
          <w:sz w:val="30"/>
          <w:szCs w:val="30"/>
        </w:rPr>
        <w:t>年初</w:t>
      </w:r>
      <w:r>
        <w:rPr>
          <w:rFonts w:hint="eastAsia" w:ascii="仿宋_GB2312" w:eastAsia="仿宋_GB2312"/>
          <w:sz w:val="30"/>
          <w:szCs w:val="30"/>
        </w:rPr>
        <w:t>预算的0.00%；公务用车运行维护费支出决算为0.00元，完成</w:t>
      </w:r>
      <w:r>
        <w:rPr>
          <w:rFonts w:hint="eastAsia" w:ascii="仿宋_GB2312" w:hAnsi="宋体" w:eastAsia="仿宋_GB2312" w:cs="Arial"/>
          <w:kern w:val="0"/>
          <w:sz w:val="30"/>
          <w:szCs w:val="30"/>
        </w:rPr>
        <w:t>年初</w:t>
      </w:r>
      <w:r>
        <w:rPr>
          <w:rFonts w:hint="eastAsia" w:ascii="仿宋_GB2312" w:eastAsia="仿宋_GB2312"/>
          <w:sz w:val="30"/>
          <w:szCs w:val="30"/>
        </w:rPr>
        <w:t>预算的0.00%；公务接待费支出决算为430</w:t>
      </w:r>
      <w:r>
        <w:rPr>
          <w:rFonts w:hint="eastAsia" w:ascii="仿宋_GB2312" w:eastAsia="仿宋_GB2312"/>
          <w:sz w:val="30"/>
          <w:szCs w:val="30"/>
          <w:lang w:val="en-US" w:eastAsia="zh-CN"/>
        </w:rPr>
        <w:t>.00</w:t>
      </w:r>
      <w:r>
        <w:rPr>
          <w:rFonts w:hint="eastAsia" w:ascii="仿宋_GB2312" w:eastAsia="仿宋_GB2312"/>
          <w:sz w:val="30"/>
          <w:szCs w:val="30"/>
        </w:rPr>
        <w:t>元，完成</w:t>
      </w:r>
      <w:r>
        <w:rPr>
          <w:rFonts w:hint="eastAsia" w:ascii="仿宋_GB2312" w:hAnsi="宋体" w:eastAsia="仿宋_GB2312" w:cs="Arial"/>
          <w:kern w:val="0"/>
          <w:sz w:val="30"/>
          <w:szCs w:val="30"/>
        </w:rPr>
        <w:t>年初</w:t>
      </w:r>
      <w:r>
        <w:rPr>
          <w:rFonts w:hint="eastAsia" w:ascii="仿宋_GB2312" w:eastAsia="仿宋_GB2312"/>
          <w:sz w:val="30"/>
          <w:szCs w:val="30"/>
        </w:rPr>
        <w:t>预算的</w:t>
      </w:r>
      <w:r>
        <w:rPr>
          <w:rFonts w:ascii="仿宋_GB2312" w:eastAsia="仿宋_GB2312"/>
          <w:sz w:val="30"/>
          <w:szCs w:val="30"/>
        </w:rPr>
        <w:t>10.75</w:t>
      </w:r>
      <w:r>
        <w:rPr>
          <w:rFonts w:hint="eastAsia" w:ascii="仿宋_GB2312" w:eastAsia="仿宋_GB2312"/>
          <w:sz w:val="30"/>
          <w:szCs w:val="30"/>
        </w:rPr>
        <w:t>%。2022年度一般公共预算财政拨款“三公”经费支出决算数小于</w:t>
      </w:r>
      <w:r>
        <w:rPr>
          <w:rFonts w:hint="eastAsia" w:ascii="仿宋_GB2312" w:hAnsi="宋体" w:eastAsia="仿宋_GB2312" w:cs="Arial"/>
          <w:kern w:val="0"/>
          <w:sz w:val="30"/>
          <w:szCs w:val="30"/>
        </w:rPr>
        <w:t>年初</w:t>
      </w:r>
      <w:r>
        <w:rPr>
          <w:rFonts w:hint="eastAsia" w:ascii="仿宋_GB2312" w:eastAsia="仿宋_GB2312"/>
          <w:sz w:val="30"/>
          <w:szCs w:val="30"/>
        </w:rPr>
        <w:t>预算数的主要原因玉溪市红塔区文物管理所公车已经报废无需报销公车运行维护费，本着厉行节约的精神减少非必要接待。</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2022年度一般公共预算财政拨款“三公”经费支出决算数比上年减少1,801</w:t>
      </w:r>
      <w:r>
        <w:rPr>
          <w:rFonts w:hint="eastAsia" w:ascii="仿宋_GB2312" w:eastAsia="仿宋_GB2312"/>
          <w:sz w:val="30"/>
          <w:szCs w:val="30"/>
          <w:lang w:val="en-US" w:eastAsia="zh-CN"/>
        </w:rPr>
        <w:t>.00</w:t>
      </w:r>
      <w:r>
        <w:rPr>
          <w:rFonts w:hint="eastAsia" w:ascii="仿宋_GB2312" w:eastAsia="仿宋_GB2312"/>
          <w:sz w:val="30"/>
          <w:szCs w:val="30"/>
        </w:rPr>
        <w:t>元，下降80.73%。其中：因公出国（境）费支出决算增加0.00元，增长0.00%；公务用车购置费支出决算增加0.00元，增长0.00%；公务用车运行维护费支出决算增加0.00元，增长0.00%；公务接待费支出决算增加0.00元，增长0.00%。202</w:t>
      </w:r>
      <w:r>
        <w:rPr>
          <w:rFonts w:ascii="仿宋_GB2312" w:eastAsia="仿宋_GB2312"/>
          <w:sz w:val="30"/>
          <w:szCs w:val="30"/>
        </w:rPr>
        <w:t>2</w:t>
      </w:r>
      <w:r>
        <w:rPr>
          <w:rFonts w:hint="eastAsia" w:ascii="仿宋_GB2312" w:eastAsia="仿宋_GB2312"/>
          <w:sz w:val="30"/>
          <w:szCs w:val="30"/>
        </w:rPr>
        <w:t>年度一般公共预算财政拨款“三公”经费支出决算减少的主要原因是玉溪市红塔区文物管理所公车已经报废无需报销公车运行维护费，本着厉行节约的精神减少非必要接待。</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(二)一般公共预算财政拨款“三公”经费支出实物量的具体情况</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b w:val="0"/>
          <w:bCs/>
          <w:sz w:val="30"/>
          <w:szCs w:val="30"/>
        </w:rPr>
        <w:t>1</w:t>
      </w:r>
      <w:r>
        <w:rPr>
          <w:rFonts w:hint="eastAsia" w:ascii="仿宋_GB2312" w:eastAsia="仿宋_GB2312"/>
          <w:b/>
          <w:sz w:val="30"/>
          <w:szCs w:val="30"/>
        </w:rPr>
        <w:t>.</w:t>
      </w:r>
      <w:r>
        <w:rPr>
          <w:rFonts w:hint="eastAsia" w:ascii="仿宋_GB2312" w:eastAsia="仿宋_GB2312"/>
          <w:sz w:val="30"/>
          <w:szCs w:val="30"/>
        </w:rPr>
        <w:t>安排因公出国（境）团组0个，累计0人次。</w:t>
      </w:r>
    </w:p>
    <w:p>
      <w:pPr>
        <w:keepNext w:val="0"/>
        <w:keepLines w:val="0"/>
        <w:pageBreakBefore w:val="0"/>
        <w:kinsoku/>
        <w:wordWrap/>
        <w:overflowPunct/>
        <w:topLinePunct w:val="0"/>
        <w:autoSpaceDE/>
        <w:autoSpaceDN/>
        <w:bidi w:val="0"/>
        <w:adjustRightInd/>
        <w:spacing w:after="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2.购置车辆0辆。开支一般公共预算财政拨款的公务用车保有量为0辆。</w:t>
      </w:r>
    </w:p>
    <w:p>
      <w:pPr>
        <w:keepNext w:val="0"/>
        <w:keepLines w:val="0"/>
        <w:pageBreakBefore w:val="0"/>
        <w:kinsoku/>
        <w:wordWrap/>
        <w:overflowPunct/>
        <w:topLinePunct w:val="0"/>
        <w:autoSpaceDE/>
        <w:autoSpaceDN/>
        <w:bidi w:val="0"/>
        <w:adjustRightInd/>
        <w:spacing w:after="0" w:line="600" w:lineRule="exact"/>
        <w:ind w:firstLine="600" w:firstLineChars="200"/>
        <w:jc w:val="left"/>
        <w:textAlignment w:val="auto"/>
        <w:rPr>
          <w:rFonts w:hint="eastAsia" w:ascii="黑体" w:hAnsi="黑体" w:eastAsia="黑体" w:cs="方正小标宋简体"/>
          <w:sz w:val="32"/>
          <w:szCs w:val="32"/>
        </w:rPr>
      </w:pPr>
      <w:r>
        <w:rPr>
          <w:rFonts w:hint="eastAsia" w:ascii="仿宋_GB2312" w:eastAsia="仿宋_GB2312"/>
          <w:sz w:val="30"/>
          <w:szCs w:val="30"/>
        </w:rPr>
        <w:t>安排国内公务接待1批次（其中：外事接待0批次），接待人次8人（其中：外事接待人次0人）。主要用于开展红塔区博物馆群陈列展览及讲解服务业务实操交流学习的接待支出。安排国（境）外公务接待0批次，接待人次0人。</w:t>
      </w:r>
    </w:p>
    <w:p>
      <w:pPr>
        <w:keepNext w:val="0"/>
        <w:keepLines w:val="0"/>
        <w:pageBreakBefore w:val="0"/>
        <w:widowControl/>
        <w:kinsoku/>
        <w:overflowPunct/>
        <w:topLinePunct w:val="0"/>
        <w:bidi w:val="0"/>
        <w:snapToGrid w:val="0"/>
        <w:spacing w:after="0" w:line="600" w:lineRule="exact"/>
        <w:jc w:val="center"/>
        <w:textAlignment w:val="auto"/>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overflowPunct/>
        <w:topLinePunct w:val="0"/>
        <w:bidi w:val="0"/>
        <w:spacing w:after="0"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default" w:ascii="仿宋_GB2312" w:hAnsi="黑体" w:eastAsia="仿宋_GB2312" w:cs="方正小标宋简体"/>
          <w:sz w:val="30"/>
          <w:szCs w:val="30"/>
          <w:lang w:val="en-US" w:eastAsia="zh-CN"/>
        </w:rPr>
      </w:pPr>
      <w:r>
        <w:rPr>
          <w:rFonts w:hint="eastAsia" w:ascii="仿宋_GB2312" w:eastAsia="仿宋_GB2312"/>
          <w:sz w:val="30"/>
          <w:szCs w:val="30"/>
        </w:rPr>
        <w:t>玉溪市红塔区文物管理所2022年机关运行经费支出0.00元，与上对比增加0.00元，增长0.00%</w:t>
      </w:r>
      <w:r>
        <w:rPr>
          <w:rFonts w:hint="eastAsia" w:ascii="仿宋_GB2312" w:hAnsi="黑体" w:eastAsia="仿宋_GB2312" w:cs="方正小标宋简体"/>
          <w:sz w:val="30"/>
          <w:szCs w:val="30"/>
        </w:rPr>
        <w:t>。</w:t>
      </w:r>
      <w:r>
        <w:rPr>
          <w:rFonts w:hint="eastAsia" w:ascii="仿宋_GB2312" w:hAnsi="黑体" w:eastAsia="仿宋_GB2312" w:cs="方正小标宋简体"/>
          <w:sz w:val="30"/>
          <w:szCs w:val="30"/>
          <w:lang w:val="en-US" w:eastAsia="zh-CN"/>
        </w:rPr>
        <w:t>主要原因是本单位为其他事业单位，无机关运行经费。</w:t>
      </w:r>
    </w:p>
    <w:p>
      <w:pPr>
        <w:keepNext w:val="0"/>
        <w:keepLines w:val="0"/>
        <w:pageBreakBefore w:val="0"/>
        <w:widowControl/>
        <w:kinsoku/>
        <w:overflowPunct/>
        <w:topLinePunct w:val="0"/>
        <w:bidi w:val="0"/>
        <w:spacing w:after="0" w:line="600" w:lineRule="exact"/>
        <w:ind w:firstLine="600" w:firstLineChars="200"/>
        <w:textAlignment w:val="auto"/>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二、国有资产占用情况</w:t>
      </w:r>
    </w:p>
    <w:p>
      <w:pPr>
        <w:keepNext w:val="0"/>
        <w:keepLines w:val="0"/>
        <w:pageBreakBefore w:val="0"/>
        <w:widowControl/>
        <w:kinsoku/>
        <w:wordWrap/>
        <w:overflowPunct/>
        <w:topLinePunct w:val="0"/>
        <w:autoSpaceDE/>
        <w:autoSpaceDN/>
        <w:bidi w:val="0"/>
        <w:adjustRightInd/>
        <w:snapToGrid/>
        <w:spacing w:after="0" w:line="600" w:lineRule="exact"/>
        <w:ind w:firstLine="600" w:firstLineChars="200"/>
        <w:jc w:val="both"/>
        <w:textAlignment w:val="auto"/>
        <w:rPr>
          <w:rFonts w:hint="eastAsia" w:ascii="仿宋_GB2312" w:hAnsi="黑体" w:eastAsia="仿宋_GB2312" w:cs="方正小标宋简体"/>
          <w:color w:val="000000"/>
          <w:kern w:val="0"/>
          <w:sz w:val="30"/>
          <w:szCs w:val="30"/>
        </w:rPr>
      </w:pPr>
      <w:r>
        <w:rPr>
          <w:rFonts w:hint="eastAsia" w:ascii="仿宋_GB2312" w:hAnsi="黑体" w:eastAsia="仿宋_GB2312" w:cs="方正小标宋简体"/>
          <w:color w:val="000000"/>
          <w:kern w:val="0"/>
          <w:sz w:val="30"/>
          <w:szCs w:val="30"/>
        </w:rPr>
        <w:t>截至2022年12月31日，玉溪市红塔区文物管理所资产总额6,707,090.55元，其中，流动资产13,675.00元，固定资产801</w:t>
      </w:r>
      <w:r>
        <w:rPr>
          <w:rFonts w:hint="eastAsia" w:ascii="仿宋_GB2312" w:hAnsi="黑体" w:eastAsia="仿宋_GB2312" w:cs="方正小标宋简体"/>
          <w:color w:val="000000"/>
          <w:kern w:val="0"/>
          <w:sz w:val="30"/>
          <w:szCs w:val="30"/>
          <w:lang w:val="en-US" w:eastAsia="zh-CN"/>
        </w:rPr>
        <w:t>,</w:t>
      </w:r>
      <w:r>
        <w:rPr>
          <w:rFonts w:hint="eastAsia" w:ascii="仿宋_GB2312" w:hAnsi="黑体" w:eastAsia="仿宋_GB2312" w:cs="方正小标宋简体"/>
          <w:color w:val="000000"/>
          <w:kern w:val="0"/>
          <w:sz w:val="30"/>
          <w:szCs w:val="30"/>
        </w:rPr>
        <w:t>009.87元，对外投资及有价证券0.00元，在建工程5,209,779.00元，无形资产0.00元，其他资产682,626.68元（具体内容详见附表）。与上年相比，本年资产总额增加</w:t>
      </w:r>
      <w:r>
        <w:rPr>
          <w:rFonts w:hint="eastAsia" w:ascii="仿宋_GB2312" w:hAnsi="黑体" w:eastAsia="仿宋_GB2312" w:cs="方正小标宋简体"/>
          <w:color w:val="000000"/>
          <w:kern w:val="0"/>
          <w:sz w:val="30"/>
          <w:szCs w:val="30"/>
          <w:lang w:val="en-US" w:eastAsia="zh-CN"/>
        </w:rPr>
        <w:t>1,400,413.07</w:t>
      </w:r>
      <w:r>
        <w:rPr>
          <w:rFonts w:hint="eastAsia" w:ascii="仿宋_GB2312" w:hAnsi="黑体" w:eastAsia="仿宋_GB2312" w:cs="方正小标宋简体"/>
          <w:color w:val="000000"/>
          <w:kern w:val="0"/>
          <w:sz w:val="30"/>
          <w:szCs w:val="30"/>
        </w:rPr>
        <w:t>元，其中固定资产增加312,705.80元。处置房屋建筑物0</w:t>
      </w:r>
      <w:r>
        <w:rPr>
          <w:rFonts w:hint="eastAsia" w:ascii="仿宋_GB2312" w:hAnsi="黑体" w:eastAsia="仿宋_GB2312" w:cs="方正小标宋简体"/>
          <w:color w:val="000000"/>
          <w:kern w:val="0"/>
          <w:sz w:val="30"/>
          <w:szCs w:val="30"/>
          <w:lang w:val="en-US" w:eastAsia="zh-CN"/>
        </w:rPr>
        <w:t>.00</w:t>
      </w:r>
      <w:r>
        <w:rPr>
          <w:rFonts w:hint="eastAsia" w:ascii="仿宋_GB2312" w:hAnsi="黑体" w:eastAsia="仿宋_GB2312" w:cs="方正小标宋简体"/>
          <w:color w:val="000000"/>
          <w:kern w:val="0"/>
          <w:sz w:val="30"/>
          <w:szCs w:val="30"/>
        </w:rPr>
        <w:t>平方米，账面原值0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元；处置车辆0辆，账面原值0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元；报废报损资产0项，账面原值0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元，实现资产处置收入0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元；出租房屋0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平方米，账面原值0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元，实现资产使用收入0</w:t>
      </w:r>
      <w:r>
        <w:rPr>
          <w:rFonts w:ascii="仿宋_GB2312" w:hAnsi="黑体" w:eastAsia="仿宋_GB2312" w:cs="方正小标宋简体"/>
          <w:color w:val="000000"/>
          <w:kern w:val="0"/>
          <w:sz w:val="30"/>
          <w:szCs w:val="30"/>
        </w:rPr>
        <w:t>.00</w:t>
      </w:r>
      <w:r>
        <w:rPr>
          <w:rFonts w:hint="eastAsia" w:ascii="仿宋_GB2312" w:hAnsi="黑体" w:eastAsia="仿宋_GB2312" w:cs="方正小标宋简体"/>
          <w:color w:val="000000"/>
          <w:kern w:val="0"/>
          <w:sz w:val="30"/>
          <w:szCs w:val="30"/>
        </w:rPr>
        <w:t>元。（国有资产占有使用情况表详见附表）</w:t>
      </w:r>
    </w:p>
    <w:p>
      <w:pPr>
        <w:keepNext w:val="0"/>
        <w:keepLines w:val="0"/>
        <w:pageBreakBefore w:val="0"/>
        <w:kinsoku/>
        <w:overflowPunct/>
        <w:topLinePunct w:val="0"/>
        <w:bidi w:val="0"/>
        <w:spacing w:after="0"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2022年度，部门政府采购支出总额174,100.00元，其中：政府采购货物支出27,100.00元；政府采购工程支出0.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元；政府采购服务支出147,000.00元。授予中小企业合同金额0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元，占政府采购支出总额的0.00%。</w:t>
      </w:r>
    </w:p>
    <w:p>
      <w:pPr>
        <w:keepNext w:val="0"/>
        <w:keepLines w:val="0"/>
        <w:pageBreakBefore w:val="0"/>
        <w:kinsoku/>
        <w:overflowPunct/>
        <w:topLinePunct w:val="0"/>
        <w:bidi w:val="0"/>
        <w:spacing w:after="0"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kinsoku/>
        <w:wordWrap/>
        <w:overflowPunct/>
        <w:topLinePunct w:val="0"/>
        <w:autoSpaceDE/>
        <w:autoSpaceDN/>
        <w:bidi w:val="0"/>
        <w:adjustRightInd/>
        <w:snapToGrid w:val="0"/>
        <w:spacing w:after="0" w:line="600" w:lineRule="exact"/>
        <w:ind w:firstLine="601"/>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部门绩效自评情况详见附表。</w:t>
      </w:r>
    </w:p>
    <w:p>
      <w:pPr>
        <w:keepNext w:val="0"/>
        <w:keepLines w:val="0"/>
        <w:pageBreakBefore w:val="0"/>
        <w:kinsoku/>
        <w:wordWrap/>
        <w:overflowPunct/>
        <w:topLinePunct w:val="0"/>
        <w:autoSpaceDE/>
        <w:autoSpaceDN/>
        <w:bidi w:val="0"/>
        <w:adjustRightIn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本单位为下级单位，部门整体支出绩效自评情况、部门整体支出绩效自评表由上级部门统一公开，故《2022年度部门整体支出绩效自评情况》《2022年度部门整体支出绩效自评表》为空表。</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仿宋_GB2312" w:hAnsi="黑体" w:eastAsia="仿宋_GB2312" w:cs="方正小标宋简体"/>
          <w:color w:val="FF0000"/>
          <w:sz w:val="30"/>
          <w:szCs w:val="30"/>
        </w:rPr>
      </w:pPr>
      <w:r>
        <w:rPr>
          <w:rFonts w:hint="eastAsia" w:ascii="仿宋_GB2312" w:hAnsi="黑体" w:eastAsia="仿宋_GB2312" w:cs="方正小标宋简体"/>
          <w:sz w:val="30"/>
          <w:szCs w:val="30"/>
        </w:rPr>
        <w:t>我单位无其他重要事项情况说明。</w:t>
      </w:r>
    </w:p>
    <w:p>
      <w:pPr>
        <w:keepNext w:val="0"/>
        <w:keepLines w:val="0"/>
        <w:pageBreakBefore w:val="0"/>
        <w:widowControl/>
        <w:kinsoku/>
        <w:overflowPunct/>
        <w:topLinePunct w:val="0"/>
        <w:bidi w:val="0"/>
        <w:snapToGrid w:val="0"/>
        <w:spacing w:after="0"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黑体" w:hAnsi="黑体" w:eastAsia="黑体" w:cs="方正小标宋简体"/>
          <w:sz w:val="32"/>
          <w:szCs w:val="32"/>
        </w:rPr>
      </w:pPr>
      <w:r>
        <w:rPr>
          <w:rFonts w:hint="eastAsia" w:ascii="仿宋_GB2312" w:hAnsi="黑体" w:eastAsia="仿宋_GB2312" w:cs="方正小标宋简体"/>
          <w:sz w:val="30"/>
          <w:szCs w:val="30"/>
        </w:rPr>
        <w:t>（四）“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bidi w:val="0"/>
        <w:spacing w:after="0" w:line="600" w:lineRule="exact"/>
        <w:jc w:val="center"/>
        <w:textAlignment w:val="auto"/>
        <w:outlineLvl w:val="0"/>
        <w:rPr>
          <w:rFonts w:hint="eastAsia" w:ascii="黑体" w:hAnsi="黑体" w:eastAsia="黑体" w:cs="方正小标宋简体"/>
          <w:sz w:val="32"/>
          <w:szCs w:val="32"/>
        </w:rPr>
      </w:pPr>
      <w:r>
        <w:rPr>
          <w:rFonts w:hint="eastAsia" w:ascii="黑体" w:hAnsi="黑体" w:eastAsia="黑体" w:cs="方正小标宋简体"/>
          <w:sz w:val="32"/>
          <w:szCs w:val="32"/>
        </w:rPr>
        <w:t>第五部分  名词解释</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ascii="仿宋_GB2312" w:hAnsi="黑体" w:eastAsia="仿宋_GB2312" w:cs="方正小标宋简体"/>
          <w:color w:val="FF0000"/>
          <w:sz w:val="30"/>
          <w:szCs w:val="30"/>
        </w:rPr>
      </w:pPr>
      <w:r>
        <w:rPr>
          <w:rFonts w:hint="eastAsia" w:ascii="仿宋_GB2312" w:hAnsi="黑体" w:eastAsia="仿宋_GB2312" w:cs="方正小标宋简体"/>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overflowPunct/>
        <w:topLinePunct w:val="0"/>
        <w:bidi w:val="0"/>
        <w:spacing w:after="0" w:line="600" w:lineRule="exact"/>
        <w:textAlignment w:val="auto"/>
        <w:rPr>
          <w:rFonts w:ascii="Arial" w:hAnsi="Arial" w:eastAsia="Arial" w:cs="Arial"/>
          <w:b/>
          <w:sz w:val="36"/>
        </w:rPr>
      </w:pPr>
      <w:r>
        <w:rPr>
          <w:rFonts w:ascii="Arial" w:hAnsi="Arial" w:eastAsia="Arial" w:cs="Arial"/>
          <w:b/>
          <w:sz w:val="36"/>
        </w:rPr>
        <w:t>监督索引号53040200135700301111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ZWY4NzA1Yjc0ZGMzYThjMjM1Zjc0YzAxZjlmMzA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B1B9A"/>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661D0"/>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5F2ED5"/>
    <w:rsid w:val="0060151B"/>
    <w:rsid w:val="006021EC"/>
    <w:rsid w:val="00607AF7"/>
    <w:rsid w:val="006219B9"/>
    <w:rsid w:val="0062634D"/>
    <w:rsid w:val="00640B67"/>
    <w:rsid w:val="00651567"/>
    <w:rsid w:val="006546F4"/>
    <w:rsid w:val="0066092E"/>
    <w:rsid w:val="00680F7A"/>
    <w:rsid w:val="00697350"/>
    <w:rsid w:val="006A112F"/>
    <w:rsid w:val="006C4F21"/>
    <w:rsid w:val="006C703C"/>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1B7"/>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C4CD4"/>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382D"/>
    <w:rsid w:val="00CD4CE9"/>
    <w:rsid w:val="00D1253E"/>
    <w:rsid w:val="00D2484E"/>
    <w:rsid w:val="00D73622"/>
    <w:rsid w:val="00DA0649"/>
    <w:rsid w:val="00DB4697"/>
    <w:rsid w:val="00DB67A4"/>
    <w:rsid w:val="00DC77E2"/>
    <w:rsid w:val="00DD261E"/>
    <w:rsid w:val="00DF1053"/>
    <w:rsid w:val="00DF1BEC"/>
    <w:rsid w:val="00E25A64"/>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C861D8"/>
    <w:rsid w:val="02017641"/>
    <w:rsid w:val="027030CC"/>
    <w:rsid w:val="03501375"/>
    <w:rsid w:val="03FE1459"/>
    <w:rsid w:val="04150895"/>
    <w:rsid w:val="04316D65"/>
    <w:rsid w:val="04607107"/>
    <w:rsid w:val="061015FA"/>
    <w:rsid w:val="064F3766"/>
    <w:rsid w:val="082A05ED"/>
    <w:rsid w:val="098E1A6C"/>
    <w:rsid w:val="0A920BA2"/>
    <w:rsid w:val="0B931032"/>
    <w:rsid w:val="0C970387"/>
    <w:rsid w:val="0CA15073"/>
    <w:rsid w:val="0CEF55A9"/>
    <w:rsid w:val="0D72294F"/>
    <w:rsid w:val="0D90355D"/>
    <w:rsid w:val="0F262F24"/>
    <w:rsid w:val="1004319E"/>
    <w:rsid w:val="101D191F"/>
    <w:rsid w:val="10273A5A"/>
    <w:rsid w:val="109A2368"/>
    <w:rsid w:val="1190230C"/>
    <w:rsid w:val="122C4E7B"/>
    <w:rsid w:val="1253626C"/>
    <w:rsid w:val="12AF3DA1"/>
    <w:rsid w:val="14CF06F9"/>
    <w:rsid w:val="152C5689"/>
    <w:rsid w:val="15BF46CB"/>
    <w:rsid w:val="16B47039"/>
    <w:rsid w:val="16CB771B"/>
    <w:rsid w:val="17B8351F"/>
    <w:rsid w:val="196E27A8"/>
    <w:rsid w:val="19E4265F"/>
    <w:rsid w:val="1A984E59"/>
    <w:rsid w:val="1B8E6874"/>
    <w:rsid w:val="1B9A76F1"/>
    <w:rsid w:val="1BCC05C5"/>
    <w:rsid w:val="1C827473"/>
    <w:rsid w:val="1DB23061"/>
    <w:rsid w:val="1E22328D"/>
    <w:rsid w:val="1EEC17DD"/>
    <w:rsid w:val="207A1C9F"/>
    <w:rsid w:val="21667021"/>
    <w:rsid w:val="21A74EEF"/>
    <w:rsid w:val="226E1C47"/>
    <w:rsid w:val="22BA1854"/>
    <w:rsid w:val="23B55F80"/>
    <w:rsid w:val="253B1B6C"/>
    <w:rsid w:val="25D12FC9"/>
    <w:rsid w:val="267E2FB8"/>
    <w:rsid w:val="26D7530B"/>
    <w:rsid w:val="26FB7D28"/>
    <w:rsid w:val="282D502E"/>
    <w:rsid w:val="28440BAA"/>
    <w:rsid w:val="285617AB"/>
    <w:rsid w:val="28932204"/>
    <w:rsid w:val="28AF6300"/>
    <w:rsid w:val="294C6C42"/>
    <w:rsid w:val="29AB5281"/>
    <w:rsid w:val="2ACE39FA"/>
    <w:rsid w:val="2C2C7BFF"/>
    <w:rsid w:val="2C5518F5"/>
    <w:rsid w:val="2E7F7097"/>
    <w:rsid w:val="2EAC1889"/>
    <w:rsid w:val="2EBD6C76"/>
    <w:rsid w:val="30A06523"/>
    <w:rsid w:val="31284BEC"/>
    <w:rsid w:val="31EE7D4C"/>
    <w:rsid w:val="31FC6110"/>
    <w:rsid w:val="324972D3"/>
    <w:rsid w:val="34B468E5"/>
    <w:rsid w:val="351F21C4"/>
    <w:rsid w:val="352A532A"/>
    <w:rsid w:val="356C1FD7"/>
    <w:rsid w:val="369C5976"/>
    <w:rsid w:val="37364169"/>
    <w:rsid w:val="3742646A"/>
    <w:rsid w:val="377639DC"/>
    <w:rsid w:val="378C451A"/>
    <w:rsid w:val="37B06201"/>
    <w:rsid w:val="37FA0D74"/>
    <w:rsid w:val="38556D9E"/>
    <w:rsid w:val="38962098"/>
    <w:rsid w:val="38C92C72"/>
    <w:rsid w:val="3C0F16A5"/>
    <w:rsid w:val="3D0474B8"/>
    <w:rsid w:val="3F060392"/>
    <w:rsid w:val="3F407227"/>
    <w:rsid w:val="3F9F673F"/>
    <w:rsid w:val="430F75E6"/>
    <w:rsid w:val="43650ECA"/>
    <w:rsid w:val="44523883"/>
    <w:rsid w:val="44547549"/>
    <w:rsid w:val="44A57033"/>
    <w:rsid w:val="44B5690C"/>
    <w:rsid w:val="45D930F8"/>
    <w:rsid w:val="467A012D"/>
    <w:rsid w:val="470F62D1"/>
    <w:rsid w:val="47186724"/>
    <w:rsid w:val="47667F8C"/>
    <w:rsid w:val="47A16424"/>
    <w:rsid w:val="47F25562"/>
    <w:rsid w:val="486C6836"/>
    <w:rsid w:val="48EF4A2D"/>
    <w:rsid w:val="494715C1"/>
    <w:rsid w:val="4A03114E"/>
    <w:rsid w:val="4A041DB5"/>
    <w:rsid w:val="4AED0003"/>
    <w:rsid w:val="4B8B0C39"/>
    <w:rsid w:val="4CF008A3"/>
    <w:rsid w:val="4DB97F36"/>
    <w:rsid w:val="4E3A4E06"/>
    <w:rsid w:val="4F783F8F"/>
    <w:rsid w:val="4FCC7BC5"/>
    <w:rsid w:val="50083501"/>
    <w:rsid w:val="5131070C"/>
    <w:rsid w:val="51373AA3"/>
    <w:rsid w:val="51721342"/>
    <w:rsid w:val="52BC6998"/>
    <w:rsid w:val="55A15D32"/>
    <w:rsid w:val="56181CD3"/>
    <w:rsid w:val="570759A6"/>
    <w:rsid w:val="57266671"/>
    <w:rsid w:val="57FA77D8"/>
    <w:rsid w:val="58890172"/>
    <w:rsid w:val="5AA84B40"/>
    <w:rsid w:val="5AC54F81"/>
    <w:rsid w:val="5C424B52"/>
    <w:rsid w:val="5D632CD1"/>
    <w:rsid w:val="5D951F0C"/>
    <w:rsid w:val="5DB30EDB"/>
    <w:rsid w:val="5E507680"/>
    <w:rsid w:val="5F2330D0"/>
    <w:rsid w:val="6079628C"/>
    <w:rsid w:val="620D089A"/>
    <w:rsid w:val="62780C2D"/>
    <w:rsid w:val="63464BF6"/>
    <w:rsid w:val="64EA070D"/>
    <w:rsid w:val="65BA62E7"/>
    <w:rsid w:val="65FE5DD1"/>
    <w:rsid w:val="660D17DD"/>
    <w:rsid w:val="68947133"/>
    <w:rsid w:val="69087E7C"/>
    <w:rsid w:val="69293A06"/>
    <w:rsid w:val="69647737"/>
    <w:rsid w:val="69990E04"/>
    <w:rsid w:val="69E0699C"/>
    <w:rsid w:val="6ACE412E"/>
    <w:rsid w:val="6B65093B"/>
    <w:rsid w:val="6D2C1DBC"/>
    <w:rsid w:val="6E5401FE"/>
    <w:rsid w:val="6E7709A4"/>
    <w:rsid w:val="6E8D09D9"/>
    <w:rsid w:val="6EEE03E3"/>
    <w:rsid w:val="6F8F445C"/>
    <w:rsid w:val="702351A0"/>
    <w:rsid w:val="70547884"/>
    <w:rsid w:val="70C12734"/>
    <w:rsid w:val="70E51081"/>
    <w:rsid w:val="7398436E"/>
    <w:rsid w:val="75330F5B"/>
    <w:rsid w:val="768220A0"/>
    <w:rsid w:val="77207610"/>
    <w:rsid w:val="787A721E"/>
    <w:rsid w:val="78AF2483"/>
    <w:rsid w:val="79EB17A6"/>
    <w:rsid w:val="7A4C3D09"/>
    <w:rsid w:val="7B4E6BA2"/>
    <w:rsid w:val="7B653233"/>
    <w:rsid w:val="7C3D3992"/>
    <w:rsid w:val="7C480CB4"/>
    <w:rsid w:val="7D8E6EA5"/>
    <w:rsid w:val="7DAE28EC"/>
    <w:rsid w:val="7F3F0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ind w:firstLine="42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uiPriority w:val="0"/>
    <w:rPr>
      <w:color w:val="0000FF"/>
      <w:u w:val="single"/>
    </w:rPr>
  </w:style>
  <w:style w:type="character" w:customStyle="1" w:styleId="13">
    <w:name w:val="font11"/>
    <w:uiPriority w:val="0"/>
    <w:rPr>
      <w:rFonts w:hint="eastAsia" w:ascii="宋体" w:hAnsi="宋体" w:eastAsia="宋体" w:cs="宋体"/>
      <w:color w:val="000000"/>
      <w:sz w:val="20"/>
      <w:szCs w:val="20"/>
      <w:u w:val="none"/>
    </w:rPr>
  </w:style>
  <w:style w:type="character" w:customStyle="1" w:styleId="14">
    <w:name w:val="font01"/>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961</Words>
  <Characters>5482</Characters>
  <Lines>45</Lines>
  <Paragraphs>12</Paragraphs>
  <TotalTime>1</TotalTime>
  <ScaleCrop>false</ScaleCrop>
  <LinksUpToDate>false</LinksUpToDate>
  <CharactersWithSpaces>6431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2023-06-27T01:32:00Z</cp:lastPrinted>
  <dcterms:modified xsi:type="dcterms:W3CDTF">2023-10-25T09:23:00Z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2052-11.1.0.10314</vt:lpwstr>
  </property>
</Properties>
</file>