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监督索引号53040300541001000</w:t>
      </w:r>
    </w:p>
    <w:p>
      <w:pPr>
        <w:rPr>
          <w:rFonts w:hint="default" w:ascii="Times New Roman" w:hAnsi="Times New Roman" w:eastAsia="Arial"/>
          <w:b/>
          <w:sz w:val="36"/>
        </w:rPr>
      </w:pPr>
      <w:r>
        <w:rPr>
          <w:rFonts w:hint="default" w:ascii="Times New Roman" w:hAnsi="Times New Roman" w:eastAsia="Arial"/>
          <w:b/>
          <w:sz w:val="36"/>
        </w:rPr>
        <w:t>监督索引号53040300541001000</w:t>
      </w:r>
    </w:p>
    <w:p>
      <w:pPr>
        <w:autoSpaceDE w:val="0"/>
        <w:autoSpaceDN w:val="0"/>
        <w:spacing w:line="590" w:lineRule="atLeas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玉溪市江川区统计局2022年度部门决算</w:t>
      </w:r>
    </w:p>
    <w:p>
      <w:pPr>
        <w:autoSpaceDE w:val="0"/>
        <w:autoSpaceDN w:val="0"/>
        <w:spacing w:line="590" w:lineRule="atLeas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目录</w:t>
      </w:r>
    </w:p>
    <w:p>
      <w:pPr>
        <w:autoSpaceDE w:val="0"/>
        <w:autoSpaceDN w:val="0"/>
        <w:spacing w:line="590" w:lineRule="exact"/>
        <w:rPr>
          <w:rFonts w:hint="default" w:ascii="Times New Roman" w:hAnsi="Times New Roman" w:eastAsia="方正黑体_GBK"/>
          <w:sz w:val="32"/>
          <w:szCs w:val="32"/>
        </w:rPr>
      </w:pPr>
      <w:r>
        <w:rPr>
          <w:rFonts w:hint="default" w:ascii="Times New Roman" w:hAnsi="Times New Roman" w:eastAsia="方正黑体_GBK"/>
          <w:sz w:val="32"/>
          <w:szCs w:val="32"/>
        </w:rPr>
        <w:t>第一部分  玉溪市江川区统计局概况</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一、主要职能</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二、部门基本情况</w:t>
      </w:r>
    </w:p>
    <w:p>
      <w:pPr>
        <w:autoSpaceDE w:val="0"/>
        <w:autoSpaceDN w:val="0"/>
        <w:spacing w:line="590" w:lineRule="exact"/>
        <w:rPr>
          <w:rFonts w:hint="default" w:ascii="Times New Roman" w:hAnsi="Times New Roman" w:eastAsia="方正黑体_GBK"/>
          <w:sz w:val="32"/>
          <w:szCs w:val="32"/>
        </w:rPr>
      </w:pPr>
      <w:r>
        <w:rPr>
          <w:rFonts w:hint="default" w:ascii="Times New Roman" w:hAnsi="Times New Roman" w:eastAsia="方正黑体_GBK"/>
          <w:sz w:val="32"/>
          <w:szCs w:val="32"/>
        </w:rPr>
        <w:t>第二部分  2022年度部门决算表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一、收入支出决算表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二、收入决算表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三、支出决算表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四、财政拨款收入支出决算表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五、一般公共预算财政拨款收入支出决算表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六、一般公共预算财政拨款基本支出决算表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七、一般公共预算财政拨款项目支出决算表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八、政府性基金预算财政拨款收入支出决算表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九、国有资本经营预算财政拨款收入支出决算表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十、“三公”经费、行政参公单位机关运行经费情况表</w:t>
      </w:r>
    </w:p>
    <w:p>
      <w:pPr>
        <w:autoSpaceDE w:val="0"/>
        <w:autoSpaceDN w:val="0"/>
        <w:spacing w:line="590" w:lineRule="exact"/>
        <w:rPr>
          <w:rFonts w:hint="default" w:ascii="Times New Roman" w:hAnsi="Times New Roman" w:eastAsia="方正黑体_GBK"/>
          <w:sz w:val="32"/>
          <w:szCs w:val="32"/>
        </w:rPr>
      </w:pPr>
      <w:r>
        <w:rPr>
          <w:rFonts w:hint="default" w:ascii="Times New Roman" w:hAnsi="Times New Roman" w:eastAsia="方正黑体_GBK"/>
          <w:sz w:val="32"/>
          <w:szCs w:val="32"/>
        </w:rPr>
        <w:t>第三部分  2022年度部门决算情况说明</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一、收入决算情况说明</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二、支出决算情况说明</w:t>
      </w:r>
    </w:p>
    <w:p>
      <w:pPr>
        <w:tabs>
          <w:tab w:val="left" w:pos="7921"/>
        </w:tabs>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三、一般公共预算财政拨款支出决算情况说明</w:t>
      </w:r>
      <w:r>
        <w:rPr>
          <w:rFonts w:hint="default" w:ascii="Times New Roman" w:hAnsi="Times New Roman" w:eastAsia="方正楷体_GBK"/>
          <w:sz w:val="32"/>
          <w:szCs w:val="32"/>
        </w:rPr>
        <w:tab/>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四、财政拨款“三公”经费支出决算情况说明</w:t>
      </w:r>
    </w:p>
    <w:p>
      <w:pPr>
        <w:autoSpaceDE w:val="0"/>
        <w:autoSpaceDN w:val="0"/>
        <w:spacing w:line="590" w:lineRule="exact"/>
        <w:rPr>
          <w:rFonts w:hint="default" w:ascii="Times New Roman" w:hAnsi="Times New Roman" w:eastAsia="方正黑体_GBK"/>
          <w:sz w:val="32"/>
          <w:szCs w:val="32"/>
        </w:rPr>
      </w:pPr>
      <w:r>
        <w:rPr>
          <w:rFonts w:hint="default" w:ascii="Times New Roman" w:hAnsi="Times New Roman" w:eastAsia="方正黑体_GBK"/>
          <w:sz w:val="32"/>
          <w:szCs w:val="32"/>
        </w:rPr>
        <w:t>第四部分  其他重要事项及相关口径情况说明</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一、机关运行经费支出情况</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二、国有资产占用情况</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三、政府采购支出情况</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四、部门绩效自评情况</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（一）部门整体支出绩效自评情况</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（二）部门整体支出绩效自评表</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（三）项目支出绩效自评表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五、其他重要事项情况说明</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六、相关口径说明</w:t>
      </w:r>
    </w:p>
    <w:p>
      <w:pPr>
        <w:autoSpaceDE w:val="0"/>
        <w:autoSpaceDN w:val="0"/>
        <w:spacing w:line="590" w:lineRule="exact"/>
        <w:rPr>
          <w:rFonts w:hint="default" w:ascii="Times New Roman" w:hAnsi="Times New Roman" w:eastAsia="方正黑体_GBK"/>
          <w:sz w:val="32"/>
          <w:szCs w:val="32"/>
        </w:rPr>
      </w:pPr>
      <w:r>
        <w:rPr>
          <w:rFonts w:hint="default" w:ascii="Times New Roman" w:hAnsi="Times New Roman" w:eastAsia="方正黑体_GBK"/>
          <w:sz w:val="32"/>
          <w:szCs w:val="32"/>
        </w:rPr>
        <w:t>第五部分  名词解释</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黑体_GBK"/>
          <w:sz w:val="32"/>
          <w:szCs w:val="32"/>
        </w:rPr>
      </w:pP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第一部分  玉溪市江川区统计局概况</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一、主要职能</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（一）主要职能</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1.负责组织和协调全区统计工作，组织完成国家、省、市、区下达的统计任务。建立并管理全区经济社会运行宏观数据库。</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拟定并组织实施统计工作的规章制度、统计改革和统计现代化建设规划。建立和完善反映经济社会发展的统计制度、统计方法、统计指标和统计管理体系。组织实施国民经济核算制度和投入产出调查，汇编提供国民经济核算资料。</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3.组织实施统计法律法规的宣传教育，指导和规范全区统计行政执法工作，监督检查统计法律法规的贯彻落实。组织统计执法检查，查处统计违法案件。</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4.会同有关部门组织实施人口、经济、农业普查及专项调查工作，汇总、整理和提供有关普查和调查方面的统计数据并进行统计分析。</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组织实施能源、投资、消费、收入、科技、人口、劳动力、社会发展基本情况等统计调查。收集、汇总、整理和提供有关调查的统计数据。综合整理和提供旅游、交通运输、邮政、教育、卫生、社会保障、公用事业、资源、房屋、对外贸易、对外经济等全区基本统计数据。</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负责对国民经济、社会发展、科技进步和资源环境等情况进行统计分析、统计预测和统计监督，向区委、区政府及有关部门提供统计信息和咨询建议。围绕全区发展战略和经济发展思路，搜集、整理、提供全区统计数据。组织实施区内外统计交流合作项目，开展统计工作方面的资料交换。</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7.依法审批民间统计调查项目，指导专业统计基础工作和统计基层业务基础建设。建立健全统计数据质量审核、监控和评估制度。</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8.建立并管理全区统计信息自动化系统和统计数据库系统，实施统计数据联网直报，指导全区统计信息化系统建设。</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9.完成区委、区政府交办的其他任务。</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（二）2022年度重点工作任务概述</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全国第七次人口普查各项工作有序推进，完成扫尾工作；完成了紧紧围绕区委、区政府中心工作，转变观念，树立优质服务理念，改进工作作风和工作方法，突出抓好统计服务，开展纳规纳限调研工作；把全区符合纳规纳限条件的企业，全部纳入规模限额以上统计；进一步完善联网直报企业数据质量控制体系，使“企业一套表”数据收集、审核、查询、评估等工作实现流程化、标准化、规范化，全面掌控数据质量，提高工作效率；完成了工业调查、固定资产投资调查、建筑业调查、批发零售调查、能耗调查、服务业调查、城乡一体化调查、畜禽监测调查、劳动力抽样调查等统计工作。</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二、部门基本情况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楷体_GBK"/>
          <w:sz w:val="32"/>
          <w:szCs w:val="32"/>
        </w:rPr>
        <w:t>（一）机构设置情况</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我部门共设置5个内设机构，分别是:办公室（统计执法队）、综合核算统计股（县域经济发展统计监测股）、农业统计股、工业能源投资统计股、服务业统计股。所属事业单位9个，分别是：</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1.玉溪市江川区地方统计调查队</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2.玉溪市江川区统计局星云统计工作站</w:t>
      </w:r>
      <w:r>
        <w:rPr>
          <w:rFonts w:hint="default" w:ascii="Times New Roman" w:hAnsi="Times New Roman" w:eastAsia="方正仿宋_GBK"/>
          <w:sz w:val="32"/>
          <w:szCs w:val="32"/>
          <w:shd w:val="clear" w:color="auto" w:fill="FFFFFF"/>
        </w:rPr>
        <w:tab/>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3.玉溪市江川区统计局宁海统计工作站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4.玉溪市江川区统计局前卫统计工作站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5.玉溪市江川区统计局江城统计工作站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6.玉溪市江川区统计局安化统计工作站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7.玉溪市江川区统计局雄关统计工作站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8.玉溪市江川区统计局九溪统计工作站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9.玉溪市江川区统计局路居统计工作站</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（二）决算单位构成</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纳入玉溪市江川区统计局2022年度部门决算编报的单位共1个。其中：行政单位1个，参照公务员法管理的事业单位0个，其他事业单位0个。即：</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玉溪市江川区统计局。</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 xml:space="preserve">（三）部门人员和车辆的编制及实有情况 </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末实有人员编制38人。其中：行政编制11人（含行政工勤编制0人），事业编制27人（含参公管理事业编制0人）；在职在编实有行政人员9人（含行政工勤人员0人），事业人员22人（含参公管理事业人员0人）。</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尚未移交养老保险基金发放养老金的离退休人员共计0人（离休0人，退休0人）；由养老保险基金发放养老金的离退休人员4人（离休0人，退休4人）。</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实有车辆编制0辆，在编实有车辆0辆。</w:t>
      </w: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第二部分  2022年度部门决算表</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（详见附件）</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玉溪市江川区统计局没有政府性基金收入，也没有使用政府性基金安排的支出，故《政府性基金预算财政拨款收入支出决算表》无数据。</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玉溪市江川区统计局没有国有资本经营收入，也没有使用国有资本经营收入安排的支出，故《国有资本经营预算财政拨款收入支出决算表》无数据。</w:t>
      </w: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第三部分  2022年度部门决算情况说明</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黑体_GBK"/>
          <w:sz w:val="32"/>
          <w:szCs w:val="32"/>
        </w:rPr>
        <w:t>一、收入决算情况说明</w:t>
      </w:r>
    </w:p>
    <w:p>
      <w:pPr>
        <w:spacing w:line="59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度收入合计4,885,801.03元。其中：财政拨款收入4,690,451.68元，占总收入的96.00%；上级补助收入0.00元，占总收入的0.00%；事业收入0.00元（含教育收费0.00元），占总收入的0.00%；经营收入0.00元，占总收入的0.00%；附属单位缴款收入0.00元，占总收入的0.00%；其他收入195,349.35元，占总收入的4.00%。与上年相比，收入合计减少225,401.81元，下降4.41%。其中：财政拨款收入减少336,901.16元，下降6.70%</w:t>
      </w:r>
      <w:r>
        <w:rPr>
          <w:rFonts w:ascii="Times New Roman" w:hAnsi="Times New Roman" w:eastAsia="方正仿宋_GBK"/>
          <w:sz w:val="32"/>
          <w:szCs w:val="32"/>
        </w:rPr>
        <w:t>；</w:t>
      </w:r>
      <w:r>
        <w:rPr>
          <w:rFonts w:hint="default" w:ascii="Times New Roman" w:hAnsi="Times New Roman" w:eastAsia="方正仿宋_GBK"/>
          <w:sz w:val="32"/>
          <w:szCs w:val="32"/>
        </w:rPr>
        <w:t>上级补助收入增加0.00元，增长0.00%；事业收入增加0.00元，增长0.00%；经营收入增加0.00元，增长0.00%；附属单位上缴收入增加0.00元，增长0.00%；其他收入增加111,499.35元，增长132.97%。主要原因是2022年开展江川区住户调查大样本轮换工作、劳动力调查工作量增加，市级拨入经费增加；评选全省统计工作先进个人发放奖金0.15万元。因此其他收入增加。</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二、支出决算情况说明</w:t>
      </w:r>
    </w:p>
    <w:p>
      <w:pPr>
        <w:spacing w:line="59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度支出合计4,850,357.03元。其中：基本支出4,555,500.78元，占总支出的93.92%；项目支出294,856.25元，占总支出的6.08%；上缴上级支出0.00元，占总支出的0.00％；经营支出0.00元，占总支出的0.00％；对附属单位补助支出0.00元，占总支出的0.00％。与上年相比，支出合计减少336,764.69元，下降6.49%。其中：基本支出减少522,656.94元，下降10.29%；项目支出增加185,892.25元，增长170.60%；上缴上级支出增加0.00元，增长0.00%；经营支出增加0.00元，增长0.00%；对附属单位补助支出增加0.00元，增长0.00%。主要原因分析</w:t>
      </w:r>
      <w:r>
        <w:rPr>
          <w:rFonts w:ascii="Times New Roman" w:hAnsi="Times New Roman" w:eastAsia="方正仿宋_GBK"/>
          <w:sz w:val="32"/>
          <w:szCs w:val="32"/>
        </w:rPr>
        <w:t>：</w:t>
      </w:r>
      <w:r>
        <w:rPr>
          <w:rFonts w:hint="default" w:ascii="Times New Roman" w:hAnsi="Times New Roman" w:eastAsia="方正仿宋_GBK"/>
          <w:sz w:val="32"/>
          <w:szCs w:val="32"/>
        </w:rPr>
        <w:t>2022年开展江川区住户调查大样本轮换工作、劳动力调查工作量增加，经费开支增加，导致变化幅度增大。</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（一）基本支出情况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2022年度用于保障玉溪市江川区统计局机关、下属事业单位等机构正常运转的日常支出4,555,500.78元。其中：基本工资、津贴补贴等人员经费支出4,339,913.43元，占基本支出的95.27％；办公费、印刷费、水电费、办公设备购置等公用经费215,587.35元，占基本支出的4.73％。</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（二）项目支出情况</w:t>
      </w:r>
    </w:p>
    <w:p>
      <w:pPr>
        <w:spacing w:line="59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2022年度用于保障玉溪市江川区统计局机构、下属事业单位等机构为完成特定的行政工作任务或事业发展目标，用于专项业务工作的经费支出294,856.25元。其中：基本建设类项目支出0.00元。2022年开展江川区住户调查大样本轮换工作、劳动力调查工作量增加，经费开支增加，导致变化幅度增大。</w:t>
      </w:r>
      <w:r>
        <w:rPr>
          <w:rFonts w:ascii="Times New Roman" w:hAnsi="Times New Roman" w:eastAsia="方正仿宋" w:cs="Times New Roman"/>
          <w:sz w:val="30"/>
          <w:szCs w:val="30"/>
        </w:rPr>
        <w:t>具体项目开支及开展工作情况：</w:t>
      </w:r>
      <w:bookmarkStart w:id="0" w:name="_GoBack"/>
      <w:bookmarkEnd w:id="0"/>
    </w:p>
    <w:p>
      <w:pPr>
        <w:spacing w:line="59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1.投资统计项目费用补助经费支出3,197.00元，主要用于投资项目入库工作经费。</w:t>
      </w:r>
    </w:p>
    <w:p>
      <w:pPr>
        <w:spacing w:line="59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2.城乡住户调查经费支出207,764.00元，主要用于住户调查劳务费。</w:t>
      </w:r>
    </w:p>
    <w:p>
      <w:pPr>
        <w:autoSpaceDE w:val="0"/>
        <w:autoSpaceDN w:val="0"/>
        <w:spacing w:line="590" w:lineRule="exact"/>
        <w:rPr>
          <w:rFonts w:hint="default" w:ascii="Times New Roman" w:hAnsi="Times New Roman" w:eastAsia="方正仿宋_GBK"/>
          <w:sz w:val="32"/>
          <w:szCs w:val="32"/>
          <w:lang w:val="en-US" w:eastAsia="zh-CN"/>
        </w:rPr>
      </w:pPr>
      <w:r>
        <w:rPr>
          <w:rFonts w:hint="eastAsia" w:ascii="Times New Roman" w:hAnsi="Times New Roman" w:eastAsia="方正黑体_GBK"/>
          <w:sz w:val="32"/>
          <w:szCs w:val="32"/>
          <w:lang w:val="en-US" w:eastAsia="zh-CN"/>
        </w:rPr>
        <w:t xml:space="preserve">   </w:t>
      </w:r>
      <w:r>
        <w:rPr>
          <w:rFonts w:hint="eastAsia" w:ascii="Times New Roman" w:hAnsi="Times New Roman" w:eastAsia="方正仿宋_GBK"/>
          <w:sz w:val="32"/>
          <w:szCs w:val="32"/>
          <w:lang w:val="en-US" w:eastAsia="zh-CN"/>
        </w:rPr>
        <w:t xml:space="preserve"> 3.专项普查活动经费支出13,765.60元，主要用于第七次全国人口普查公报印刷费用。</w:t>
      </w:r>
    </w:p>
    <w:p>
      <w:pPr>
        <w:autoSpaceDE w:val="0"/>
        <w:autoSpaceDN w:val="0"/>
        <w:spacing w:line="590" w:lineRule="exact"/>
        <w:ind w:firstLine="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4.公益性岗位</w:t>
      </w:r>
      <w:r>
        <w:rPr>
          <w:rFonts w:hint="eastAsia" w:ascii="Times New Roman" w:hAnsi="Times New Roman" w:eastAsia="方正仿宋_GBK" w:cs="Times New Roman"/>
          <w:sz w:val="32"/>
          <w:szCs w:val="32"/>
          <w:lang w:val="en-US" w:eastAsia="zh-CN"/>
        </w:rPr>
        <w:t>补贴支出38,801.65元，主要用于公益性岗位人员补贴。</w:t>
      </w:r>
    </w:p>
    <w:p>
      <w:pPr>
        <w:autoSpaceDE w:val="0"/>
        <w:autoSpaceDN w:val="0"/>
        <w:spacing w:line="590" w:lineRule="exact"/>
        <w:ind w:firstLine="6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5.农民工统计监测调查委托业务费支出10,351.00元，主要用于农民工统计监测委托业务费用。</w:t>
      </w:r>
    </w:p>
    <w:p>
      <w:pPr>
        <w:autoSpaceDE w:val="0"/>
        <w:autoSpaceDN w:val="0"/>
        <w:spacing w:line="590" w:lineRule="exact"/>
        <w:ind w:firstLine="6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6.劳动力调查经费支出20,977.00元，主要用于劳动力调查费用。</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三、一般公共预算财政拨款支出决算情况说明</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（一）一般公共预算财政拨款支出决算总体情况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度一般公共预算财政拨款支出4,690,451.68元，占本年支出合计的96.70%。与上年相比减少378,876.04元，下降7.47%，主要原因为按照缩紧开支的要求，本年度缩减培训费、会议费、机关运行经费的开支。</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（二）一般公共预算财政拨款支出决算具体情况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1.一般公共服务（类）支出3,725,469.52元，占一般公共预算财政拨款总支出的79.43%。</w:t>
      </w:r>
      <w:r>
        <w:rPr>
          <w:rFonts w:hint="default" w:ascii="Times New Roman" w:hAnsi="Times New Roman" w:eastAsia="方正仿宋_GBK"/>
          <w:sz w:val="32"/>
          <w:szCs w:val="32"/>
          <w:shd w:val="clear" w:color="auto" w:fill="FFFFFF"/>
        </w:rPr>
        <w:t>主要是用于行政运行的办公费、培训费、公务接待费、福利费、会议费、专项普查活动经费、统计抽样调查经费、其他一般公共服务支出等</w:t>
      </w:r>
      <w:r>
        <w:rPr>
          <w:rFonts w:hint="default" w:ascii="Times New Roman" w:hAnsi="Times New Roman" w:eastAsia="方正仿宋_GBK"/>
          <w:sz w:val="32"/>
          <w:szCs w:val="32"/>
        </w:rPr>
        <w:t>。</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2.外交（类）支出0.00元，占一般公共预算财政拨款总支出的0.00%。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3.国防（类）支出0.00元，占一般公共预算财政拨款总支出的0.00%。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4.公共安全（类）支出0.00元，占一般公共预算财政拨款总支出的0.00%。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5.教育（类）支出0.00元，占一般公共预算财政拨款总支出的0.00%。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6.科学技术（类）支出0.00元，占一般公共预算财政拨款总支出的0.00%。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7.文化旅游体育与传媒（类）支出0.00元，占一般公共预算财政拨款总支出的0.00%。</w:t>
      </w:r>
    </w:p>
    <w:p>
      <w:pPr>
        <w:autoSpaceDE w:val="0"/>
        <w:autoSpaceDN w:val="0"/>
        <w:spacing w:line="590" w:lineRule="exact"/>
        <w:ind w:firstLine="600"/>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 xml:space="preserve">  8.社会保障和就业（类）支出335,749.76元，占一般公共预算财政拨款总支出的7.16%。主要用于</w:t>
      </w:r>
      <w:r>
        <w:rPr>
          <w:rFonts w:hint="eastAsia" w:ascii="Times New Roman" w:hAnsi="Times New Roman" w:eastAsia="方正仿宋_GBK"/>
          <w:sz w:val="32"/>
          <w:szCs w:val="32"/>
          <w:lang w:eastAsia="zh-CN"/>
        </w:rPr>
        <w:t>在职在编</w:t>
      </w:r>
      <w:r>
        <w:rPr>
          <w:rFonts w:hint="default" w:ascii="Times New Roman" w:hAnsi="Times New Roman" w:eastAsia="方正仿宋_GBK"/>
          <w:sz w:val="32"/>
          <w:szCs w:val="32"/>
        </w:rPr>
        <w:t>人员养老保险缴费支出</w:t>
      </w:r>
      <w:r>
        <w:rPr>
          <w:rFonts w:hint="eastAsia" w:ascii="Times New Roman" w:hAnsi="Times New Roman" w:eastAsia="方正仿宋_GBK"/>
          <w:sz w:val="32"/>
          <w:szCs w:val="32"/>
          <w:lang w:eastAsia="zh-CN"/>
        </w:rPr>
        <w:t>。</w:t>
      </w:r>
    </w:p>
    <w:p>
      <w:pPr>
        <w:autoSpaceDE w:val="0"/>
        <w:autoSpaceDN w:val="0"/>
        <w:spacing w:line="590" w:lineRule="exact"/>
        <w:ind w:firstLine="600"/>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 xml:space="preserve">  9.卫生健康（类）支出347,614.40元，占一般公共预算财政拨款总支出的7.41%。主要用于</w:t>
      </w:r>
      <w:r>
        <w:rPr>
          <w:rFonts w:hint="eastAsia" w:ascii="Times New Roman" w:hAnsi="Times New Roman" w:eastAsia="方正仿宋_GBK"/>
          <w:sz w:val="32"/>
          <w:szCs w:val="32"/>
          <w:lang w:eastAsia="zh-CN"/>
        </w:rPr>
        <w:t>在职在编</w:t>
      </w:r>
      <w:r>
        <w:rPr>
          <w:rFonts w:hint="default" w:ascii="Times New Roman" w:hAnsi="Times New Roman" w:eastAsia="方正仿宋_GBK"/>
          <w:sz w:val="32"/>
          <w:szCs w:val="32"/>
        </w:rPr>
        <w:t>人员</w:t>
      </w:r>
      <w:r>
        <w:rPr>
          <w:rFonts w:hint="eastAsia" w:ascii="Times New Roman" w:hAnsi="Times New Roman" w:eastAsia="方正仿宋_GBK"/>
          <w:sz w:val="32"/>
          <w:szCs w:val="32"/>
          <w:lang w:eastAsia="zh-CN"/>
        </w:rPr>
        <w:t>医疗</w:t>
      </w:r>
      <w:r>
        <w:rPr>
          <w:rFonts w:hint="default" w:ascii="Times New Roman" w:hAnsi="Times New Roman" w:eastAsia="方正仿宋_GBK"/>
          <w:sz w:val="32"/>
          <w:szCs w:val="32"/>
        </w:rPr>
        <w:t>保险缴费支出</w:t>
      </w:r>
      <w:r>
        <w:rPr>
          <w:rFonts w:hint="eastAsia" w:ascii="Times New Roman" w:hAnsi="Times New Roman" w:eastAsia="方正仿宋_GBK"/>
          <w:sz w:val="32"/>
          <w:szCs w:val="32"/>
          <w:lang w:eastAsia="zh-CN"/>
        </w:rPr>
        <w:t>。</w:t>
      </w:r>
    </w:p>
    <w:p>
      <w:pPr>
        <w:autoSpaceDE w:val="0"/>
        <w:autoSpaceDN w:val="0"/>
        <w:spacing w:line="590" w:lineRule="exact"/>
        <w:ind w:firstLine="600"/>
        <w:rPr>
          <w:rFonts w:hint="default" w:ascii="Times New Roman" w:hAnsi="Times New Roman" w:eastAsia="方正仿宋_GBK"/>
          <w:sz w:val="32"/>
          <w:szCs w:val="32"/>
        </w:rPr>
      </w:pP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10.节能环保（类）支出0.00元，占一般公共预算财政拨款总支出的0.00%。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11.城乡社区（类）支出0.00元，占一般公共预算财政拨款总支出的0.00%。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12.农林水（类）支出0.00元，占一般公共预算财政拨款总支出的0.00%。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13.交通运输（类）支出0.00元，占一般公共预算财政拨款总支出的0.00%。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14.资源勘探工业信息等（类）支出类0.00元，占一般公共预算财政拨款总支出的0.00%。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15.商业服务业等（类）支出0.00元，占一般公共预算财政拨款总支出的0.00%。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16.金融（类）支出0.00元，占一般公共预算财政拨款总支出的0.00%。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17.援助其他地区（类）支出0.00元，占一般公共预算财政拨款总支出的0.00%。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18.自然资源海洋气象等（类）支出0.00元，占一般公共预算财政拨款总支出的0.00%。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19.住房保障（类）支出281,618.00元，占一般公共预算财政拨款总支出的6.00%。主要用于</w:t>
      </w:r>
      <w:r>
        <w:rPr>
          <w:rFonts w:hint="eastAsia" w:ascii="Times New Roman" w:hAnsi="Times New Roman" w:eastAsia="方正仿宋_GBK"/>
          <w:sz w:val="32"/>
          <w:szCs w:val="32"/>
          <w:lang w:eastAsia="zh-CN"/>
        </w:rPr>
        <w:t>在职在编</w:t>
      </w:r>
      <w:r>
        <w:rPr>
          <w:rFonts w:hint="default" w:ascii="Times New Roman" w:hAnsi="Times New Roman" w:eastAsia="方正仿宋_GBK"/>
          <w:sz w:val="32"/>
          <w:szCs w:val="32"/>
        </w:rPr>
        <w:t>人员住房公积金支出</w:t>
      </w:r>
      <w:r>
        <w:rPr>
          <w:rFonts w:ascii="Times New Roman" w:hAnsi="Times New Roman" w:eastAsia="方正仿宋_GBK"/>
          <w:sz w:val="32"/>
          <w:szCs w:val="32"/>
        </w:rPr>
        <w:t>。</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20.粮油物资储备（类）支出0.00元，占一般公共预算财政拨款总支出的0.00%。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21.国有资本经营预算（类）支出0.00元，占一般公共预算财政拨款总支出的0.00%。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22.灾害防治及应急管理（类）支出0.00元，占一般公共预算财政拨款总支出的0.00%。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23.其他（类）支出0.00元，占一般公共预算财政拨款总支出的0.00%。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24.债务还本（类）支出0.00元，占一般公共预算财政拨款总支出的0.00%。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25.债务付息（类）支出0.00元，占一般公共预算财政拨款总支出的0.00%。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26.抗疫特别国债安排（类）支出0.00元，占一般公共预算财政拨款总支出的0.00%。</w:t>
      </w:r>
    </w:p>
    <w:p>
      <w:pPr>
        <w:autoSpaceDE w:val="0"/>
        <w:autoSpaceDN w:val="0"/>
        <w:spacing w:line="590" w:lineRule="exact"/>
        <w:ind w:firstLine="601"/>
        <w:rPr>
          <w:rFonts w:hint="default" w:ascii="Times New Roman" w:hAnsi="Times New Roman" w:eastAsia="方正黑体_GBK"/>
          <w:sz w:val="32"/>
          <w:szCs w:val="32"/>
        </w:rPr>
      </w:pPr>
      <w:r>
        <w:rPr>
          <w:rFonts w:hint="default" w:ascii="Times New Roman" w:hAnsi="Times New Roman" w:eastAsia="方正黑体_GBK"/>
          <w:sz w:val="32"/>
          <w:szCs w:val="32"/>
        </w:rPr>
        <w:t xml:space="preserve">四、财政拨款“三公”经费支出决算情况说明 </w:t>
      </w:r>
    </w:p>
    <w:p>
      <w:pPr>
        <w:autoSpaceDE w:val="0"/>
        <w:autoSpaceDN w:val="0"/>
        <w:spacing w:line="590" w:lineRule="exact"/>
        <w:ind w:firstLine="601"/>
        <w:rPr>
          <w:rFonts w:hint="default" w:ascii="Times New Roman" w:hAnsi="Times New Roman" w:eastAsia="方正仿宋_GBK"/>
          <w:sz w:val="32"/>
          <w:szCs w:val="32"/>
        </w:rPr>
      </w:pPr>
      <w:r>
        <w:rPr>
          <w:rFonts w:hint="default" w:ascii="Times New Roman" w:hAnsi="Times New Roman" w:eastAsia="方正仿宋_GBK"/>
          <w:sz w:val="32"/>
          <w:szCs w:val="32"/>
        </w:rPr>
        <w:t>2022年度财政拨款“三公”经费支出决算中，财政拨款“三公”经费支出年初预算为12,600.00元，支出决算为12,350.00元，完成年初预算的98.02%。其中：因公出国（境）费支出决算0.00元，占总支出决算的0.00%；公务用车购置费支出决算0.00元，占总支出决算的0.00%；公务用车运行维护费支出决算0.00元，占总支出决算的0.00%；公务接待费支出决算12,350.00元，占总支出决算的100.00%，具体是国内接待费支出决算12,350.00元（其中：外事接待费支出决算0.00元），国（境）外接待费支出决算0.00元。明细情况如下：</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(一) 一般公共预算财政拨款“三公”经费支出决算总体情况</w:t>
      </w:r>
    </w:p>
    <w:p>
      <w:pPr>
        <w:autoSpaceDE w:val="0"/>
        <w:autoSpaceDN w:val="0"/>
        <w:spacing w:line="590" w:lineRule="exact"/>
        <w:ind w:firstLine="601"/>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度一般公共预算财政拨款“三公”经费支出年初预算为12,600.00元，支出决算为12,350.00元，完成年初预算的95.02%。其中：因公出国（境）费支出决算为0.00元，完成年初预算的0.00%；公务用车购置费支出决算为0.00元，完成年初预算的0.00%；公务用车运行维护费支出决算为0.00元，完成年初预算的0.00%；公务接待费支出决算为12,350.00元，完成年初预算的95.02%。2022年度</w:t>
      </w:r>
      <w:r>
        <w:rPr>
          <w:rFonts w:ascii="Times New Roman" w:hAnsi="Times New Roman" w:eastAsia="方正仿宋_GBK"/>
          <w:sz w:val="32"/>
          <w:szCs w:val="32"/>
        </w:rPr>
        <w:t>一</w:t>
      </w:r>
      <w:r>
        <w:rPr>
          <w:rFonts w:hint="default" w:ascii="Times New Roman" w:hAnsi="Times New Roman" w:eastAsia="方正仿宋_GBK"/>
          <w:sz w:val="32"/>
          <w:szCs w:val="32"/>
        </w:rPr>
        <w:t>般公共预算财政拨款“三公”经费支出决算数</w:t>
      </w:r>
      <w:r>
        <w:rPr>
          <w:rFonts w:ascii="Times New Roman" w:hAnsi="Times New Roman" w:eastAsia="方正仿宋_GBK"/>
          <w:sz w:val="32"/>
          <w:szCs w:val="32"/>
        </w:rPr>
        <w:t>小</w:t>
      </w:r>
      <w:r>
        <w:rPr>
          <w:rFonts w:hint="default" w:ascii="Times New Roman" w:hAnsi="Times New Roman" w:eastAsia="方正仿宋_GBK"/>
          <w:sz w:val="32"/>
          <w:szCs w:val="32"/>
        </w:rPr>
        <w:t>于年初预算数的主要原因按照缩紧开支的要求，本年度缩减公务接待费的开支。</w:t>
      </w:r>
    </w:p>
    <w:p>
      <w:pPr>
        <w:spacing w:line="59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2022年度一般公共预算财政拨款“三公”经费支出决算数比上年增加4,074.00元，增长49.23%。其中：因公出国（境）费支出决算增加0.00元，增长0.00%；公务用车购置费支出决算增加0.00元，增长0.00%；公务用车运行维护费支出决算增加0.00元，增长0.00%；公务接待费支出决算增加4,074.00元，增长49.23%。2022年度一般公共预算财政拨款“三公”经费支出决算增加的主要原因是因2022年江川区各项统计工作在全市表现突出，省、市统计局多次到江川区统计局调研工作，西双版纳州、澄江市等其他县（市、区）到江川区统计局交流工作经验。因此公务接待费用增加，导致“三公”经费同比增长幅度</w:t>
      </w:r>
      <w:r>
        <w:rPr>
          <w:rFonts w:ascii="Times New Roman" w:hAnsi="Times New Roman" w:eastAsia="方正仿宋_GBK"/>
          <w:sz w:val="32"/>
          <w:szCs w:val="32"/>
        </w:rPr>
        <w:t>较</w:t>
      </w:r>
      <w:r>
        <w:rPr>
          <w:rFonts w:hint="default" w:ascii="Times New Roman" w:hAnsi="Times New Roman" w:eastAsia="方正仿宋_GBK"/>
          <w:sz w:val="32"/>
          <w:szCs w:val="32"/>
        </w:rPr>
        <w:t>大。</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(二) 一般公共预算财政拨款“三公”经费支出实物量的具体情况</w:t>
      </w:r>
    </w:p>
    <w:p>
      <w:pPr>
        <w:autoSpaceDE w:val="0"/>
        <w:autoSpaceDN w:val="0"/>
        <w:spacing w:line="590" w:lineRule="exact"/>
        <w:ind w:firstLine="602"/>
        <w:rPr>
          <w:rFonts w:hint="default" w:ascii="Times New Roman" w:hAnsi="Times New Roman" w:eastAsia="方正仿宋_GBK"/>
          <w:sz w:val="32"/>
          <w:szCs w:val="32"/>
        </w:rPr>
      </w:pPr>
      <w:r>
        <w:rPr>
          <w:rFonts w:hint="default" w:ascii="Times New Roman" w:hAnsi="Times New Roman" w:eastAsia="方正仿宋_GBK"/>
          <w:b/>
          <w:sz w:val="32"/>
          <w:szCs w:val="32"/>
        </w:rPr>
        <w:t>1.</w:t>
      </w:r>
      <w:r>
        <w:rPr>
          <w:rFonts w:hint="default" w:ascii="Times New Roman" w:hAnsi="Times New Roman" w:eastAsia="方正仿宋_GBK"/>
          <w:sz w:val="32"/>
          <w:szCs w:val="32"/>
        </w:rPr>
        <w:t>安排因公出国（境）团组0个，累计0人次。</w:t>
      </w:r>
    </w:p>
    <w:p>
      <w:pPr>
        <w:autoSpaceDE w:val="0"/>
        <w:autoSpaceDN w:val="0"/>
        <w:spacing w:line="590" w:lineRule="exact"/>
        <w:ind w:firstLine="602"/>
        <w:rPr>
          <w:rFonts w:hint="default" w:ascii="Times New Roman" w:hAnsi="Times New Roman" w:eastAsia="方正仿宋_GBK"/>
          <w:sz w:val="32"/>
          <w:szCs w:val="32"/>
        </w:rPr>
      </w:pPr>
      <w:r>
        <w:rPr>
          <w:rFonts w:hint="default" w:ascii="Times New Roman" w:hAnsi="Times New Roman" w:eastAsia="方正仿宋_GBK"/>
          <w:b/>
          <w:sz w:val="32"/>
          <w:szCs w:val="32"/>
        </w:rPr>
        <w:t>2.</w:t>
      </w:r>
      <w:r>
        <w:rPr>
          <w:rFonts w:hint="default" w:ascii="Times New Roman" w:hAnsi="Times New Roman" w:eastAsia="方正仿宋_GBK"/>
          <w:sz w:val="32"/>
          <w:szCs w:val="32"/>
        </w:rPr>
        <w:t>购置车辆0辆。开支一般公共预算财政拨款的公务用车保有量为0辆。</w:t>
      </w:r>
    </w:p>
    <w:p>
      <w:pPr>
        <w:autoSpaceDE w:val="0"/>
        <w:autoSpaceDN w:val="0"/>
        <w:spacing w:line="590" w:lineRule="exact"/>
        <w:ind w:firstLine="602"/>
        <w:rPr>
          <w:rFonts w:hint="default" w:ascii="Times New Roman" w:hAnsi="Times New Roman" w:eastAsia="方正仿宋_GBK"/>
          <w:sz w:val="32"/>
          <w:szCs w:val="32"/>
        </w:rPr>
      </w:pPr>
      <w:r>
        <w:rPr>
          <w:rFonts w:hint="default" w:ascii="Times New Roman" w:hAnsi="Times New Roman" w:eastAsia="方正仿宋_GBK"/>
          <w:b/>
          <w:sz w:val="32"/>
          <w:szCs w:val="32"/>
        </w:rPr>
        <w:t>3.</w:t>
      </w:r>
      <w:r>
        <w:rPr>
          <w:rFonts w:hint="default" w:ascii="Times New Roman" w:hAnsi="Times New Roman" w:eastAsia="方正仿宋_GBK"/>
          <w:sz w:val="32"/>
          <w:szCs w:val="32"/>
        </w:rPr>
        <w:t>安排国内公务接待12批次（其中：外事接待0批次），接待人次127人（其中：外事接待人次0人）。主要用于接待</w:t>
      </w:r>
      <w:r>
        <w:rPr>
          <w:rFonts w:hint="default" w:ascii="Times New Roman" w:hAnsi="Times New Roman" w:eastAsia="方正仿宋_GBK"/>
          <w:sz w:val="32"/>
          <w:szCs w:val="32"/>
          <w:shd w:val="clear" w:color="auto" w:fill="FFFFFF"/>
        </w:rPr>
        <w:t>考察，调研，学习等工作用餐发生的接待</w:t>
      </w:r>
      <w:r>
        <w:rPr>
          <w:rFonts w:hint="default" w:ascii="Times New Roman" w:hAnsi="Times New Roman" w:eastAsia="方正仿宋_GBK"/>
          <w:sz w:val="32"/>
          <w:szCs w:val="32"/>
        </w:rPr>
        <w:t>支出。安排国（境）外公务接待0批次，接待人次0人。</w:t>
      </w: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第四部分  其他重要事项及相关口径情况说明</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一、机关运行经费支出情况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玉溪市江川区统计局2022年机关运行经费支出163,195.25元，减少79,621.41元，下降32.79%</w:t>
      </w:r>
      <w:r>
        <w:rPr>
          <w:rFonts w:ascii="Times New Roman" w:hAnsi="Times New Roman" w:eastAsia="方正仿宋_GBK"/>
          <w:sz w:val="32"/>
          <w:szCs w:val="32"/>
        </w:rPr>
        <w:t>，</w:t>
      </w:r>
      <w:r>
        <w:rPr>
          <w:rFonts w:hint="default" w:ascii="Times New Roman" w:hAnsi="Times New Roman" w:eastAsia="方正仿宋_GBK"/>
          <w:sz w:val="32"/>
          <w:szCs w:val="32"/>
        </w:rPr>
        <w:t>主要原因分析按照缩紧开支要求，2022年保障机关正常运行，降低经费开支。部门机关运行经费主要用于办公费、手续费、水电费、邮电费、差旅费、会议费、培训费、公务接待费、工会经费、福利费、其他商品和服务等支出。</w:t>
      </w:r>
    </w:p>
    <w:p>
      <w:pPr>
        <w:numPr>
          <w:ilvl w:val="0"/>
          <w:numId w:val="1"/>
        </w:num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黑体_GBK"/>
          <w:sz w:val="32"/>
          <w:szCs w:val="32"/>
        </w:rPr>
        <w:t>国有资产占用情况</w:t>
      </w:r>
    </w:p>
    <w:p>
      <w:pPr>
        <w:numPr>
          <w:ilvl w:val="0"/>
          <w:numId w:val="0"/>
        </w:numPr>
        <w:autoSpaceDE w:val="0"/>
        <w:autoSpaceDN w:val="0"/>
        <w:spacing w:line="59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截至2022年12月31日，玉溪市江川区统计局资产总额1</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373</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653.88元，其中，流动资产561</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260.88元，固定资产812</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393.00元，对外投资及有价证券0.00元，在建工程0.00元，无形资产0.00元，其他资产0.00元（具体内容详见附表）。与上年相比，本年资产总额增加259</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554.64元，其中固定资产增加0.00元。处置房屋建筑物0.00平方米，账面原值0.00元；处置车辆0辆，账面原值0.00元；报废报损资产0项，账面原值0.00元，实现资产处置收入0.00元；出租房屋0.00平方米，账面原值0.00元，实现资产使用收入0.00元。（国有资产使用情况表详见附表）</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三、政府采购支出情况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2022年度，部门政府采购支出总额0.00元，其中：政府采购货物支出0.00元；政府采购工程支出0.00元；政府采购服务支出0.00元。授予中小企业合同金额0.00元，占政府采购支出总额的0.00%。</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四、部门绩效自评情况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部门绩效自评情况详见附表。</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五、其他重要事项情况说明</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本单位2022年度无其他重要事项情况说明。</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六、相关口径说明</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（一）基本支出中人员经费包括工资福利支出和对个人和家庭的补助，公用经费包括商品和服务支出、资本性支出等人员经费以外的支出。</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（二）机关运行经费指行政单位和参照公务员法管理的事业单位使用一般公共预算财政拨款安排的基本支出中的公用经费支出。</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第五部分  名词解释</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一、政府采购：是指各级国家机关、事业单位和团体组织，使用财政性资金采购依法制定的集中采购目录以内的或者采购限额标准以上的货物、工程和服务的行为。</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二、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三、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四、“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hint="default" w:ascii="Times New Roman" w:hAnsi="Times New Roman"/>
        </w:rPr>
      </w:pPr>
    </w:p>
    <w:p>
      <w:pPr>
        <w:rPr>
          <w:rFonts w:ascii="Arial" w:hAnsi="Arial" w:eastAsia="Arial" w:cs="Arial"/>
          <w:b/>
          <w:sz w:val="36"/>
        </w:rPr>
      </w:pPr>
      <w:r>
        <w:rPr>
          <w:rFonts w:ascii="Arial" w:hAnsi="Arial" w:eastAsia="Arial" w:cs="Arial"/>
          <w:b/>
          <w:sz w:val="36"/>
        </w:rPr>
        <w:t>监督索引号53040300541001111</w:t>
      </w:r>
    </w:p>
    <w:sectPr>
      <w:footerReference r:id="rId3" w:type="default"/>
      <w:pgSz w:w="11915" w:h="16851"/>
      <w:pgMar w:top="2041" w:right="1474" w:bottom="1304" w:left="1587" w:header="136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cs="宋体"/>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13</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13</w:t>
                    </w:r>
                    <w:r>
                      <w:rPr>
                        <w:sz w:val="28"/>
                        <w:szCs w:val="28"/>
                      </w:rPr>
                      <w:fldChar w:fldCharType="end"/>
                    </w:r>
                    <w:r>
                      <w:t xml:space="preserve"> —</w:t>
                    </w:r>
                  </w:p>
                </w:txbxContent>
              </v:textbox>
            </v:shape>
          </w:pict>
        </mc:Fallback>
      </mc:AlternateContent>
    </w:r>
    <w:r>
      <w:rPr>
        <w:rFonts w:cs="宋体"/>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7C90"/>
    <w:multiLevelType w:val="singleLevel"/>
    <w:tmpl w:val="16D57C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137325"/>
    <w:rsid w:val="001624F2"/>
    <w:rsid w:val="0034735B"/>
    <w:rsid w:val="006427D5"/>
    <w:rsid w:val="00966778"/>
    <w:rsid w:val="00D67C8F"/>
    <w:rsid w:val="013A588B"/>
    <w:rsid w:val="01E84883"/>
    <w:rsid w:val="03B0682E"/>
    <w:rsid w:val="06464318"/>
    <w:rsid w:val="065D3F91"/>
    <w:rsid w:val="073D131A"/>
    <w:rsid w:val="090125CE"/>
    <w:rsid w:val="093A5B79"/>
    <w:rsid w:val="0953341C"/>
    <w:rsid w:val="0B3A22EC"/>
    <w:rsid w:val="0FB7778D"/>
    <w:rsid w:val="10D6335C"/>
    <w:rsid w:val="11706C40"/>
    <w:rsid w:val="136F7276"/>
    <w:rsid w:val="173A5864"/>
    <w:rsid w:val="25065601"/>
    <w:rsid w:val="26C0346B"/>
    <w:rsid w:val="28B00A90"/>
    <w:rsid w:val="2B7A1E85"/>
    <w:rsid w:val="2E2974A0"/>
    <w:rsid w:val="2F2258D0"/>
    <w:rsid w:val="307B1849"/>
    <w:rsid w:val="33137325"/>
    <w:rsid w:val="3E9F5B89"/>
    <w:rsid w:val="4484649B"/>
    <w:rsid w:val="45DC7069"/>
    <w:rsid w:val="4B655886"/>
    <w:rsid w:val="4CA05C94"/>
    <w:rsid w:val="4D940B79"/>
    <w:rsid w:val="4F29712D"/>
    <w:rsid w:val="550D4E68"/>
    <w:rsid w:val="562661B2"/>
    <w:rsid w:val="67A171F8"/>
    <w:rsid w:val="68CD016F"/>
    <w:rsid w:val="6DF522B5"/>
    <w:rsid w:val="736902DC"/>
    <w:rsid w:val="74E261BB"/>
    <w:rsid w:val="764B2053"/>
    <w:rsid w:val="7A8E6668"/>
    <w:rsid w:val="7C7D37B3"/>
    <w:rsid w:val="7E77509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spacing w:after="0" w:line="276" w:lineRule="auto"/>
    </w:pPr>
    <w:rPr>
      <w:rFonts w:hint="eastAsia" w:ascii="宋体" w:hAnsi="宋体" w:eastAsia="宋体" w:cs="Times New Roman"/>
      <w:sz w:val="24"/>
      <w:szCs w:val="24"/>
      <w:lang w:val="en-US" w:eastAsia="zh-CN" w:bidi="ar-SA"/>
    </w:rPr>
  </w:style>
  <w:style w:type="paragraph" w:styleId="2">
    <w:name w:val="heading 2"/>
    <w:basedOn w:val="1"/>
    <w:next w:val="1"/>
    <w:qFormat/>
    <w:uiPriority w:val="0"/>
    <w:pPr>
      <w:spacing w:beforeAutospacing="1" w:afterAutospacing="1"/>
      <w:outlineLvl w:val="1"/>
    </w:pPr>
    <w:rPr>
      <w:b/>
      <w:sz w:val="36"/>
      <w:szCs w:val="36"/>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customStyle="1" w:styleId="7">
    <w:name w:val="普通(网站) Char"/>
    <w:basedOn w:val="1"/>
    <w:qFormat/>
    <w:uiPriority w:val="0"/>
    <w:pPr>
      <w:spacing w:beforeAutospacing="1" w:afterAutospacing="1"/>
    </w:pPr>
  </w:style>
  <w:style w:type="paragraph" w:customStyle="1" w:styleId="8">
    <w:name w:val="普通(网站) Char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玉溪市江川区党政机关单位</Company>
  <Pages>16</Pages>
  <Words>1163</Words>
  <Characters>6633</Characters>
  <Lines>55</Lines>
  <Paragraphs>15</Paragraphs>
  <TotalTime>0</TotalTime>
  <ScaleCrop>false</ScaleCrop>
  <LinksUpToDate>false</LinksUpToDate>
  <CharactersWithSpaces>7781</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2023-11-10T07:08:00Z</dcterms:created>
  <dc:creator>Administrator</dc:creator>
  <cp:lastModifiedBy>DELL</cp:lastModifiedBy>
  <dcterms:modified xsi:type="dcterms:W3CDTF">2023-11-16T02:26:22Z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