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bookmarkStart w:id="0" w:name="Title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澄江市财政局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民族宗教事务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关于下达202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年中央财政衔接推进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乡村振兴补助资金（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）的</w:t>
      </w:r>
      <w:bookmarkEnd w:id="0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龙街街道、右所镇人民政府、财政所：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项目建设的顺利进行，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根据《玉溪市财政局关于下达2023年中央财政衔接推进乡村振兴补助资金的通知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</w:rPr>
        <w:t>》（</w:t>
      </w:r>
      <w:r>
        <w:rPr>
          <w:rFonts w:hint="eastAsia" w:ascii="Times New Roman" w:hAnsi="Times New Roman"/>
          <w:sz w:val="32"/>
          <w:szCs w:val="32"/>
          <w:lang w:val="en-US" w:eastAsia="zh-CN" w:bidi="ar"/>
        </w:rPr>
        <w:t>玉财农〔2023〕62号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</w:t>
      </w:r>
      <w:r>
        <w:rPr>
          <w:rFonts w:hint="eastAsia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，结合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澄江市人民政府关于澄江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市右所镇吉花社区2023年中央财政衔接推进乡村振兴-马房村旅游提升建设项目实施方案的批复》（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澄政复〔2023〕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《澄江市人民政府关于澄江市龙街街道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华光社区2023年中央财政衔接推进乡村振兴-华光村旅游提升建设项目实施方案的批复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》（澄政复〔2023〕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批复，现将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中央财政衔接推进乡村振兴补助资金（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少数民族发展任务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给你们（详见附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龙街街道、右所镇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cs="Times New Roman"/>
          <w:sz w:val="32"/>
          <w:szCs w:val="32"/>
          <w:lang w:eastAsia="zh-CN"/>
        </w:rPr>
        <w:t>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精准使用资金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eastAsia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和</w:t>
      </w:r>
      <w:r>
        <w:rPr>
          <w:rFonts w:hint="eastAsia" w:cs="Times New Roman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加强项目及资金执行力度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龙街街道、右所镇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要以目标为导向，加强项目及资金的执行力度，项目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批复后尽快组织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开工建设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，确保各项建设任务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cs="Times New Roman"/>
          <w:color w:val="auto"/>
          <w:sz w:val="32"/>
          <w:szCs w:val="32"/>
          <w:lang w:eastAsia="zh-CN"/>
        </w:rPr>
        <w:t>资金拨付严格按照《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中央财政衔接推进乡村振兴补助资金管理办法</w:t>
      </w:r>
      <w:r>
        <w:rPr>
          <w:rFonts w:hint="eastAsia" w:cs="Times New Roman"/>
          <w:color w:val="auto"/>
          <w:sz w:val="32"/>
          <w:szCs w:val="32"/>
          <w:lang w:eastAsia="zh-CN"/>
        </w:rPr>
        <w:t>》（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cs="Times New Roman"/>
          <w:color w:val="auto"/>
          <w:sz w:val="32"/>
          <w:szCs w:val="32"/>
          <w:lang w:eastAsia="zh-CN"/>
        </w:rPr>
        <w:t>）执行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龙街街道、右所镇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根据要求，及时对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项目建设内容及资金使用计划等信息进行公示</w:t>
      </w:r>
      <w:r>
        <w:rPr>
          <w:rFonts w:hint="eastAsia" w:cs="Times New Roman"/>
          <w:sz w:val="32"/>
          <w:szCs w:val="32"/>
          <w:lang w:eastAsia="zh-CN"/>
        </w:rPr>
        <w:t>、公开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，项目建成经镇、街道验收后，对项目建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内容及资金使用情况等信息进行公告，公示公告可采用纸质粘贴、网站公布、手机信息等多种形式，通过公告公示，提高资金使用透明度，充分接受社会监督。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hanging="1920" w:hangingChars="600"/>
        <w:jc w:val="both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eastAsia="zh-CN"/>
        </w:rPr>
        <w:t>中央财政衔接推进乡村振兴补助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6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hanging="32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澄江市</w:t>
      </w:r>
      <w:r>
        <w:rPr>
          <w:rFonts w:hint="eastAsia"/>
          <w:lang w:val="en-US" w:eastAsia="zh-CN"/>
        </w:rPr>
        <w:t>2023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中央财政衔接推进乡村振兴</w:t>
      </w:r>
      <w:r>
        <w:rPr>
          <w:rFonts w:hint="default"/>
          <w:lang w:val="en-US" w:eastAsia="zh-CN"/>
        </w:rPr>
        <w:t>建设</w:t>
      </w:r>
      <w:r>
        <w:rPr>
          <w:rFonts w:hint="eastAsia"/>
          <w:lang w:val="en-US" w:eastAsia="zh-CN"/>
        </w:rPr>
        <w:t>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5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5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280" w:firstLineChars="400"/>
        <w:textAlignment w:val="auto"/>
        <w:outlineLvl w:val="9"/>
        <w:rPr>
          <w:rFonts w:hint="eastAsia" w:eastAsia="方正仿宋_GBK"/>
          <w:color w:val="282828"/>
          <w:sz w:val="32"/>
          <w:szCs w:val="32"/>
          <w:lang w:eastAsia="zh-CN"/>
        </w:rPr>
      </w:pPr>
      <w:r>
        <w:rPr>
          <w:rFonts w:hint="eastAsia"/>
          <w:color w:val="282828"/>
          <w:sz w:val="32"/>
          <w:szCs w:val="32"/>
          <w:lang w:eastAsia="zh-CN"/>
        </w:rPr>
        <w:t>澄江市财政局</w:t>
      </w:r>
      <w:r>
        <w:rPr>
          <w:rFonts w:hint="eastAsia"/>
          <w:color w:val="282828"/>
          <w:sz w:val="32"/>
          <w:szCs w:val="32"/>
          <w:lang w:val="en-US" w:eastAsia="zh-CN"/>
        </w:rPr>
        <w:t xml:space="preserve">         澄江市民族宗教事务局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80" w:rightChars="400" w:firstLine="640" w:firstLineChars="200"/>
        <w:jc w:val="center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80" w:rightChars="400" w:firstLine="640" w:firstLineChars="200"/>
        <w:jc w:val="center"/>
        <w:textAlignment w:val="auto"/>
        <w:outlineLvl w:val="9"/>
        <w:rPr>
          <w:rFonts w:eastAsia="方正仿宋_GBK"/>
          <w:color w:val="282828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eastAsia="方正仿宋_GBK"/>
          <w:color w:val="282828"/>
          <w:sz w:val="32"/>
          <w:szCs w:val="32"/>
        </w:rPr>
        <w:t>年</w:t>
      </w:r>
      <w:r>
        <w:rPr>
          <w:rFonts w:hint="eastAsia"/>
          <w:color w:val="282828"/>
          <w:sz w:val="32"/>
          <w:szCs w:val="32"/>
          <w:lang w:val="en-US" w:eastAsia="zh-CN"/>
        </w:rPr>
        <w:t>8</w:t>
      </w:r>
      <w:r>
        <w:rPr>
          <w:rFonts w:eastAsia="方正仿宋_GBK"/>
          <w:color w:val="282828"/>
          <w:sz w:val="32"/>
          <w:szCs w:val="32"/>
        </w:rPr>
        <w:t>月</w:t>
      </w:r>
      <w:r>
        <w:rPr>
          <w:rFonts w:hint="eastAsia"/>
          <w:color w:val="282828"/>
          <w:sz w:val="32"/>
          <w:szCs w:val="32"/>
          <w:lang w:val="en-US" w:eastAsia="zh-CN"/>
        </w:rPr>
        <w:t>23</w:t>
      </w:r>
      <w:r>
        <w:rPr>
          <w:rFonts w:eastAsia="方正仿宋_GBK"/>
          <w:color w:val="28282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澄江市202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中央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财政衔接推进乡村振兴补助资金分配表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82828"/>
          <w:sz w:val="52"/>
          <w:szCs w:val="52"/>
          <w:vertAlign w:val="subscript"/>
          <w:lang w:val="en-US" w:eastAsia="zh-CN"/>
        </w:rPr>
        <w:t>单位：万元</w:t>
      </w:r>
    </w:p>
    <w:tbl>
      <w:tblPr>
        <w:tblStyle w:val="8"/>
        <w:tblpPr w:leftFromText="180" w:rightFromText="180" w:vertAnchor="text" w:horzAnchor="page" w:tblpX="827" w:tblpY="1069"/>
        <w:tblOverlap w:val="never"/>
        <w:tblW w:w="15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20"/>
        <w:gridCol w:w="5719"/>
        <w:gridCol w:w="1462"/>
        <w:gridCol w:w="2063"/>
        <w:gridCol w:w="1912"/>
        <w:gridCol w:w="1848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7"/>
                <w:rFonts w:hint="eastAsia" w:cs="Times New Roman" w:eastAsiaTheme="minorEastAsia"/>
                <w:lang w:val="en-US" w:eastAsia="zh-CN" w:bidi="ar"/>
              </w:rPr>
              <w:t>预算单位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项目名称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下达金额（万元）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功能分类科目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政府预算分类科目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批复文件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5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右所镇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市右所镇吉花社区2023年中央财政衔接推进乡村振兴-马房村旅游提升建设项目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澄政复〔2023〕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5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澄江市龙街街道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华光社区2023年中央财政衔接推进乡村振兴-华光村旅游提升建设项目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澄政复〔2023〕</w:t>
            </w: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57" w:hRule="atLeast"/>
        </w:trPr>
        <w:tc>
          <w:tcPr>
            <w:tcW w:w="7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  <w:sectPr>
          <w:pgSz w:w="16838" w:h="11906" w:orient="landscape"/>
          <w:pgMar w:top="850" w:right="850" w:bottom="850" w:left="850" w:header="851" w:footer="992" w:gutter="0"/>
          <w:cols w:space="0" w:num="1"/>
          <w:rtlGutter w:val="0"/>
          <w:docGrid w:type="lines" w:linePitch="443" w:charSpace="0"/>
        </w:sectPr>
      </w:pPr>
    </w:p>
    <w:p>
      <w:pPr>
        <w:rPr>
          <w:rFonts w:hint="default" w:ascii="方正小标宋_GBK" w:hAnsi="方正小标宋_GBK" w:eastAsia="方正黑体_GBK" w:cs="方正小标宋_GBK"/>
          <w:spacing w:val="-2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2023</w:t>
      </w: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中央财政衔接推进乡村振兴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项目绩效目标表</w:t>
      </w:r>
    </w:p>
    <w:tbl>
      <w:tblPr>
        <w:tblStyle w:val="8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002"/>
        <w:gridCol w:w="1596"/>
        <w:gridCol w:w="2100"/>
        <w:gridCol w:w="1294"/>
        <w:gridCol w:w="2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澄江市2023年中央财政衔接推进乡村振兴补助资金（少数民族发展任务）产业发展建设项目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玉溪市民族宗教事务局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澄江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民族宗教事务局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完成右所镇吉花社区2023年中央财政衔接推进乡村振兴-马房村旅游提升项目、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龙街街道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华光社区2023年中央财政衔接推进乡村振兴-华光村旅游提升项目建设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，进一步改善项目点群众的生活条件，巩固提升已脱贫贫困人口的脱贫质量，防止返贫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象的发生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项目个数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财政资金投入（万元）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工程建设工期（月）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工程质量合格率（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工程使用年限（年）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1725"/>
                <w:tab w:val="left" w:pos="2441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ab/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人口满意率（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≥96%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82550</wp:posOffset>
                </wp:positionV>
                <wp:extent cx="5579745" cy="12700"/>
                <wp:effectExtent l="0" t="6350" r="190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6.5pt;height:1pt;width:439.35pt;z-index:251662336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372110</wp:posOffset>
                </wp:positionV>
                <wp:extent cx="5579745" cy="12700"/>
                <wp:effectExtent l="0" t="6350" r="190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9.3pt;height:1pt;width:439.35pt;z-index:251663360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33655</wp:posOffset>
                </wp:positionV>
                <wp:extent cx="5579745" cy="889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889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.65pt;height:0.7pt;width:439.35pt;z-index:251664384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财政局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  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文本框 6" o:spid="_x0000_s2049" o:spt="202" type="#_x0000_t202" style="position:absolute;left:0pt;margin-left:462.05pt;margin-top:786.15pt;height:144pt;width:144pt;mso-position-horizontal-relative:page;mso-position-vertical-relative:page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文本框 7" o:spid="_x0000_s2050" o:spt="202" type="#_x0000_t202" style="position:absolute;left:0pt;margin-left:93.55pt;margin-top:786.15pt;height:144pt;width:144pt;mso-position-horizontal-relative:page;mso-position-vertical-relative:page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B2637"/>
    <w:rsid w:val="102545EA"/>
    <w:rsid w:val="12A832B4"/>
    <w:rsid w:val="12DB7D35"/>
    <w:rsid w:val="135E5418"/>
    <w:rsid w:val="22A039EB"/>
    <w:rsid w:val="28E34F4D"/>
    <w:rsid w:val="295148E1"/>
    <w:rsid w:val="2B9447C0"/>
    <w:rsid w:val="2CC9013B"/>
    <w:rsid w:val="5FE21AFC"/>
    <w:rsid w:val="68655808"/>
    <w:rsid w:val="6DA47575"/>
    <w:rsid w:val="705E0598"/>
    <w:rsid w:val="740A6ED9"/>
    <w:rsid w:val="7BE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仿宋_GBK" w:hAnsi="Courier New" w:cs="Courier New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3">
    <w:name w:val="Char Char1"/>
    <w:basedOn w:val="1"/>
    <w:qFormat/>
    <w:uiPriority w:val="0"/>
    <w:rPr>
      <w:rFonts w:eastAsia="宋体"/>
      <w:sz w:val="21"/>
      <w:szCs w:val="24"/>
    </w:rPr>
  </w:style>
  <w:style w:type="paragraph" w:customStyle="1" w:styleId="14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宋体"/>
    </w:rPr>
  </w:style>
  <w:style w:type="character" w:customStyle="1" w:styleId="17">
    <w:name w:val="font71"/>
    <w:basedOn w:val="10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12</Pages>
  <Words>3467</Words>
  <Characters>3912</Characters>
  <Lines>0</Lines>
  <Paragraphs>0</Paragraphs>
  <TotalTime>5</TotalTime>
  <ScaleCrop>false</ScaleCrop>
  <LinksUpToDate>false</LinksUpToDate>
  <CharactersWithSpaces>3957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2021-01-20T07:53:00Z</dcterms:created>
  <dc:creator>Administrator</dc:creator>
  <cp:lastModifiedBy>Dell</cp:lastModifiedBy>
  <cp:lastPrinted>2021-01-26T01:51:00Z</cp:lastPrinted>
  <dcterms:modified xsi:type="dcterms:W3CDTF">2023-12-13T02:42:51Z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8E804650DD984AA7A4D22114D4DC8EA0</vt:lpwstr>
  </property>
  <property fmtid="{D5CDD505-2E9C-101B-9397-08002B2CF9AE}" pid="4" name="ICV">
    <vt:lpwstr>56F86C691B77435CBD86E3A5C926185F</vt:lpwstr>
  </property>
</Properties>
</file>