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Title"/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澄财农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eastAsia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pacing w:val="1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pacing w:val="1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澄江市财政局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澄江市农业农村局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>调整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下达202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年财政衔接推进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乡村振兴补助资金的</w:t>
      </w:r>
      <w:bookmarkEnd w:id="0"/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澄江市农业农村局，海口镇人民政府、财政所：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资金使用绩效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我市202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财政衔接推进乡村振兴补助资金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任务如期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完成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澄江市人民政府关于澄江市2023年衔接资金项目调整的批复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》（澄政复〔202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190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号）项目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批复，</w:t>
      </w:r>
      <w:r>
        <w:rPr>
          <w:rFonts w:ascii="Times New Roman" w:hAnsi="Times New Roman" w:eastAsia="方正仿宋_GBK"/>
          <w:sz w:val="32"/>
          <w:szCs w:val="32"/>
          <w:lang w:bidi="ar"/>
        </w:rPr>
        <w:t>现</w:t>
      </w:r>
      <w:r>
        <w:rPr>
          <w:rFonts w:hint="eastAsia" w:ascii="Times New Roman" w:hAnsi="Times New Roman" w:eastAsia="方正仿宋_GBK"/>
          <w:sz w:val="32"/>
          <w:szCs w:val="32"/>
          <w:lang w:eastAsia="zh-CN" w:bidi="ar"/>
        </w:rPr>
        <w:t>调整</w:t>
      </w:r>
      <w:r>
        <w:rPr>
          <w:rFonts w:ascii="Times New Roman" w:hAnsi="Times New Roman" w:eastAsia="方正仿宋_GBK"/>
          <w:sz w:val="32"/>
          <w:szCs w:val="32"/>
          <w:lang w:bidi="ar"/>
        </w:rPr>
        <w:t>下达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年财政衔接推进乡村振兴补助资金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61.3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万元（详见附表），并就相关事项通知如下：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lang w:bidi="ar"/>
        </w:rPr>
        <w:t>收文后，请加快预算执行进度，加强资金监管，严禁截留、挤占、挪用资金，充分发挥资金使用效益。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600" w:leftChars="200" w:right="0" w:rightChars="0" w:hanging="960" w:hangingChars="300"/>
        <w:jc w:val="both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澄江市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2023年财政衔接推进乡村振兴补助资金调整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下达明细表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1600" w:leftChars="50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澄江市财政局            澄江市农业农村局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2023年11月17日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right="0" w:rightChars="0" w:firstLine="640" w:firstLineChars="200"/>
        <w:jc w:val="both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方正仿宋_GBK" w:hAnsi="方正仿宋_GBK" w:eastAsia="方正仿宋_GBK" w:cs="方正仿宋_GBK"/>
          <w:color w:val="282828"/>
          <w:sz w:val="36"/>
          <w:szCs w:val="36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282828"/>
          <w:sz w:val="24"/>
          <w:szCs w:val="24"/>
          <w:vertAlign w:val="baseline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282828"/>
          <w:sz w:val="36"/>
          <w:szCs w:val="36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仿宋_GBK" w:hAnsi="方正仿宋_GBK" w:eastAsia="方正仿宋_GBK" w:cs="方正仿宋_GBK"/>
          <w:b/>
          <w:bCs/>
          <w:color w:val="282828"/>
          <w:sz w:val="44"/>
          <w:szCs w:val="44"/>
          <w:vertAlign w:val="subscript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282828"/>
          <w:sz w:val="36"/>
          <w:szCs w:val="36"/>
          <w:vertAlign w:val="baselin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/>
          <w:bCs/>
          <w:color w:val="282828"/>
          <w:sz w:val="40"/>
          <w:szCs w:val="40"/>
          <w:vertAlign w:val="baseline"/>
          <w:lang w:val="en-US" w:eastAsia="zh-CN"/>
        </w:rPr>
        <w:t>澄江市2023年财政衔接推进乡村振兴补助资金调整下达明细表</w:t>
      </w:r>
      <w:r>
        <w:rPr>
          <w:rFonts w:hint="eastAsia" w:ascii="方正仿宋_GBK" w:hAnsi="方正仿宋_GBK" w:eastAsia="方正仿宋_GBK" w:cs="方正仿宋_GBK"/>
          <w:b/>
          <w:bCs/>
          <w:color w:val="282828"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color w:val="282828"/>
          <w:sz w:val="44"/>
          <w:szCs w:val="44"/>
          <w:vertAlign w:val="subscript"/>
          <w:lang w:val="en-US" w:eastAsia="zh-CN"/>
        </w:rPr>
        <w:t>单位：万元</w:t>
      </w:r>
    </w:p>
    <w:tbl>
      <w:tblPr>
        <w:tblStyle w:val="4"/>
        <w:tblW w:w="14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846"/>
        <w:gridCol w:w="763"/>
        <w:gridCol w:w="2279"/>
        <w:gridCol w:w="2518"/>
        <w:gridCol w:w="584"/>
        <w:gridCol w:w="1266"/>
        <w:gridCol w:w="1234"/>
        <w:gridCol w:w="747"/>
        <w:gridCol w:w="1494"/>
        <w:gridCol w:w="1009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项目资金所属年度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专项资金名称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指标文号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澄江市级财政已下达资金情况</w:t>
            </w:r>
          </w:p>
        </w:tc>
        <w:tc>
          <w:tcPr>
            <w:tcW w:w="2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本次调增调减资金情况（正数调增，负数调减）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调整项目批复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下达文号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下达金额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本次资金调整下达文号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本次调整下达金额</w:t>
            </w: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澄江市2023 年小额信贷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贴息项目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2023年中央财政衔接推进乡村振兴补助资金（提前下达）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中央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玉财农〔2022〕250号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澄财农〔2023〕4号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澄财农〔2023〕53号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-29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澄政复〔2022〕190号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澄江市2023年比亚迪就业计划培训补助项目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2023年省级财政衔接推进乡村振兴补助资金（第三批）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玉财农〔2023〕87号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澄财农〔2022〕33号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澄财农〔2023〕53号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澄政复〔2022〕190号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澄江市2023年致富带头人培训项目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2023年省级财政衔接推进乡村振兴补助资金（第三批）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玉财农〔2023〕87号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澄财农〔2022〕33号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澄财农〔2023〕53号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-7.05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澄政复〔2022〕190号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澄江市2023年雨露计划项目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2023年省级财政衔接推进乡村振兴补助资金（第三批）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玉财农〔2023〕5号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澄财农〔2022〕5号</w:t>
            </w:r>
          </w:p>
        </w:tc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35.67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澄财农〔2023〕53号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-2.16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澄政复〔2022〕190号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澄江市2023年雨露计划项目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2023年省级财政衔接推进乡村振兴补助资金（第三批）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中央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玉财农〔2022〕250号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澄财农〔2022〕9号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澄财农〔2023〕53号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-0.1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澄政复〔2022〕190号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澄江市2023年雨露计划项目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2023年省级财政衔接推进乡村振兴补助资金（第三批）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玉财农〔2023〕87号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澄财农〔2022〕33号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51.54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澄财农〔2023〕53号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-12.99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澄政复〔2022〕190号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项目资金所属年度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专项资金名称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指标文号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澄江市级财政已下达资金情况</w:t>
            </w:r>
          </w:p>
        </w:tc>
        <w:tc>
          <w:tcPr>
            <w:tcW w:w="2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本次调增调减资金情况（正数调增，负数调减）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调整项目批复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7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下达文号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下达金额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本次资金调整下达文号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本次调整下达金额</w:t>
            </w: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澄江市2023年跨省务工交通补助项目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2022年省级财政衔接推进乡村振兴补助资金（第三批）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玉财农〔2023〕87号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澄财农〔2022〕33号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澄财农〔2023〕53号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澄政复〔2022〕190号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海口镇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2023年财政衔接推进乡村振兴松元工业辣椒烘干基础设施建设项目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2023年中央财政衔接推进乡村振兴补助资金（第二批）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中央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玉财农〔2023〕62号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澄财农〔2023〕48号</w:t>
            </w:r>
          </w:p>
        </w:tc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澄财农〔2023〕53号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54.5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澄政复〔2022〕190号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K" w:hAnsi="方正仿宋_GBK" w:eastAsia="方正仿宋_GBK" w:cs="方正仿宋_GBK"/>
          <w:b/>
          <w:bCs/>
          <w:color w:val="282828"/>
          <w:sz w:val="36"/>
          <w:szCs w:val="36"/>
          <w:vertAlign w:val="subscript"/>
          <w:lang w:val="en-US"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43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282828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</w:rPr>
        <w:pict>
          <v:line id="直接连接符 2" o:spid="_x0000_s1029" o:spt="20" style="position:absolute;left:0pt;margin-left:-1.4pt;margin-top:6.5pt;height:1pt;width:439.35pt;z-index:251663360;mso-width-relative:page;mso-height-relative:page;" filled="f" stroked="t" coordsize="21600,21600" o:gfxdata="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VE4dzWAAAACAEAAA8A&#10;AAAAAAAAAQAgAAAAIgAAAGRycy9kb3ducmV2LnhtbFBLAQIUABQAAAAIAIdO4kCz0HcW4AEAAJsD&#10;AAAOAAAAAAAAAAEAIAAAACUBAABkcnMvZTJvRG9jLnhtbFBLBQYAAAAABgAGAFkBAAB3BQAAAAA=&#10;">
            <v:path arrowok="t"/>
            <v:fill on="f" focussize="0,0"/>
            <v:stroke weight="0.992047244094488pt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color w:val="282828"/>
          <w:sz w:val="28"/>
          <w:szCs w:val="28"/>
          <w:lang w:eastAsia="zh-CN"/>
        </w:rPr>
        <w:t>抄送：本局预算股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28"/>
        </w:rPr>
        <w:pict>
          <v:line id="直接连接符 3" o:spid="_x0000_s1030" o:spt="20" style="position:absolute;left:0pt;margin-left:-1.4pt;margin-top:29.3pt;height:1pt;width:439.35pt;z-index:251661312;mso-width-relative:page;mso-height-relative:page;" filled="f" stroked="t" coordsize="21600,21600" o:gfxdata="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iB5xfWAAAACAEAAA8A&#10;AAAAAAAAAQAgAAAAIgAAAGRycy9kb3ducmV2LnhtbFBLAQIUABQAAAAIAIdO4kCVaF044AEAAJsD&#10;AAAOAAAAAAAAAAEAIAAAACUBAABkcnMvZTJvRG9jLnhtbFBLBQYAAAAABgAGAFkBAAB3BQAAAAA=&#10;">
            <v:path arrowok="t"/>
            <v:fill on="f" focussize="0,0"/>
            <v:stroke weight="0.992047244094488pt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z w:val="28"/>
        </w:rPr>
        <w:pict>
          <v:line id="直接连接符 4" o:spid="_x0000_s1031" o:spt="20" style="position:absolute;left:0pt;margin-left:-1.45pt;margin-top:2.65pt;height:0.7pt;width:439.35pt;z-index:251662336;mso-width-relative:page;mso-height-relative:page;" filled="f" stroked="t" coordsize="21600,21600" o:gfxdata="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lPNcbXAAAABgEAAA8A&#10;AAAAAAAAAQAgAAAAIgAAAGRycy9kb3ducmV2LnhtbFBLAQIUABQAAAAIAIdO4kBQ4D8m3wEAAJkD&#10;AAAOAAAAAAAAAAEAIAAAACYBAABkcnMvZTJvRG9jLnhtbFBLBQYAAAAABgAGAFkBAAB3BQAAAAA=&#10;">
            <v:path arrowok="t"/>
            <v:fill on="f" focussize="0,0"/>
            <v:stroke weight="0.708582677165354pt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澄江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财政局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cs="Times New Roman"/>
          <w:sz w:val="28"/>
          <w:szCs w:val="28"/>
          <w:lang w:val="en-US" w:eastAsia="zh-CN"/>
        </w:rPr>
        <w:t xml:space="preserve">  2023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华文楷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华文楷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华文楷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87C36"/>
    <w:rsid w:val="01295C6D"/>
    <w:rsid w:val="0330397B"/>
    <w:rsid w:val="0C9E4169"/>
    <w:rsid w:val="26DB76B1"/>
    <w:rsid w:val="2A651FAE"/>
    <w:rsid w:val="3F9A4F1E"/>
    <w:rsid w:val="4EB6565E"/>
    <w:rsid w:val="535A721A"/>
    <w:rsid w:val="633F2523"/>
    <w:rsid w:val="76654181"/>
    <w:rsid w:val="7E98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楷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6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2022-11-16T03:47:00Z</dcterms:created>
  <dc:creator>Dell</dc:creator>
  <cp:lastModifiedBy>Dell</cp:lastModifiedBy>
  <dcterms:modified xsi:type="dcterms:W3CDTF">2023-12-13T02:43:18Z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4703A4CA818647A89A851A94A203174E</vt:lpwstr>
  </property>
</Properties>
</file>