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autoSpaceDE w:val="0"/>
        <w:autoSpaceDN w:val="0"/>
        <w:spacing w:line="560" w:lineRule="exact"/>
        <w:jc w:val="left"/>
        <w:rPr>
          <w:rFonts w:eastAsia="方正仿宋_GBK" w:cs="方正仿宋_GBK"/>
          <w:b/>
          <w:sz w:val="32"/>
          <w:szCs w:val="32"/>
        </w:rPr>
      </w:pPr>
      <w:r>
        <w:rPr>
          <w:rFonts w:hint="eastAsia" w:eastAsia="方正仿宋_GBK" w:cs="方正仿宋_GBK"/>
          <w:b/>
          <w:sz w:val="32"/>
          <w:szCs w:val="32"/>
        </w:rPr>
        <w:t>监督索引号53042700246801000</w:t>
      </w:r>
    </w:p>
    <w:p>
      <w:pPr>
        <w:pStyle w:val="5"/>
        <w:widowControl/>
        <w:kinsoku w:val="0"/>
        <w:overflowPunct w:val="0"/>
        <w:autoSpaceDE w:val="0"/>
        <w:autoSpaceDN w:val="0"/>
        <w:spacing w:before="50" w:beforeAutospacing="0" w:after="50" w:afterAutospacing="0" w:line="560" w:lineRule="exact"/>
        <w:jc w:val="center"/>
        <w:rPr>
          <w:rFonts w:eastAsia="方正小标宋_GBK" w:cs="方正小标宋_GBK"/>
          <w:sz w:val="44"/>
          <w:szCs w:val="44"/>
        </w:rPr>
      </w:pPr>
      <w:r>
        <w:rPr>
          <w:rFonts w:hint="eastAsia" w:eastAsia="方正小标宋_GBK" w:cs="方正小标宋_GBK"/>
          <w:sz w:val="44"/>
          <w:szCs w:val="44"/>
        </w:rPr>
        <w:t>新平彝族傣族自治县城市管理局2022年度</w:t>
      </w:r>
    </w:p>
    <w:p>
      <w:pPr>
        <w:pStyle w:val="5"/>
        <w:widowControl/>
        <w:kinsoku w:val="0"/>
        <w:overflowPunct w:val="0"/>
        <w:autoSpaceDE w:val="0"/>
        <w:autoSpaceDN w:val="0"/>
        <w:spacing w:before="50" w:beforeAutospacing="0" w:after="50" w:afterAutospacing="0" w:line="560" w:lineRule="exact"/>
        <w:jc w:val="center"/>
        <w:rPr>
          <w:rFonts w:eastAsia="方正仿宋_GBK" w:cs="方正仿宋_GBK"/>
          <w:sz w:val="29"/>
          <w:szCs w:val="29"/>
        </w:rPr>
      </w:pPr>
      <w:r>
        <w:rPr>
          <w:rFonts w:hint="eastAsia" w:eastAsia="方正小标宋_GBK" w:cs="方正小标宋_GBK"/>
          <w:sz w:val="44"/>
          <w:szCs w:val="44"/>
        </w:rPr>
        <w:t>部门决算</w:t>
      </w:r>
    </w:p>
    <w:p>
      <w:pPr>
        <w:kinsoku w:val="0"/>
        <w:overflowPunct w:val="0"/>
        <w:autoSpaceDE w:val="0"/>
        <w:autoSpaceDN w:val="0"/>
        <w:spacing w:line="560" w:lineRule="exact"/>
        <w:jc w:val="left"/>
        <w:rPr>
          <w:rFonts w:eastAsia="方正仿宋_GBK" w:cs="方正仿宋_GBK"/>
          <w:sz w:val="36"/>
          <w:szCs w:val="36"/>
        </w:rPr>
      </w:pPr>
    </w:p>
    <w:p>
      <w:pPr>
        <w:pStyle w:val="5"/>
        <w:widowControl/>
        <w:kinsoku w:val="0"/>
        <w:overflowPunct w:val="0"/>
        <w:autoSpaceDE w:val="0"/>
        <w:autoSpaceDN w:val="0"/>
        <w:spacing w:before="50" w:beforeAutospacing="0" w:after="50" w:afterAutospacing="0" w:line="560" w:lineRule="exact"/>
        <w:jc w:val="center"/>
        <w:rPr>
          <w:rFonts w:eastAsia="方正黑体_GBK" w:cs="方正黑体_GBK"/>
          <w:sz w:val="44"/>
          <w:szCs w:val="44"/>
        </w:rPr>
      </w:pPr>
      <w:r>
        <w:rPr>
          <w:rFonts w:hint="eastAsia" w:eastAsia="方正黑体_GBK" w:cs="方正黑体_GBK"/>
          <w:sz w:val="44"/>
          <w:szCs w:val="44"/>
        </w:rPr>
        <w:t>目录</w:t>
      </w:r>
    </w:p>
    <w:p>
      <w:pPr>
        <w:pStyle w:val="5"/>
        <w:widowControl/>
        <w:kinsoku w:val="0"/>
        <w:overflowPunct w:val="0"/>
        <w:autoSpaceDE w:val="0"/>
        <w:autoSpaceDN w:val="0"/>
        <w:spacing w:before="50" w:beforeAutospacing="0" w:after="50" w:afterAutospacing="0"/>
        <w:rPr>
          <w:rFonts w:eastAsia="方正黑体_GBK" w:cs="方正黑体_GBK"/>
          <w:sz w:val="32"/>
          <w:szCs w:val="32"/>
        </w:rPr>
      </w:pPr>
      <w:r>
        <w:rPr>
          <w:rFonts w:hint="eastAsia" w:eastAsia="方正黑体_GBK" w:cs="方正黑体_GBK"/>
          <w:sz w:val="32"/>
          <w:szCs w:val="32"/>
        </w:rPr>
        <w:t>第一部分  部门概况</w:t>
      </w:r>
    </w:p>
    <w:p>
      <w:pPr>
        <w:pStyle w:val="5"/>
        <w:widowControl/>
        <w:kinsoku w:val="0"/>
        <w:overflowPunct w:val="0"/>
        <w:autoSpaceDE w:val="0"/>
        <w:autoSpaceDN w:val="0"/>
        <w:spacing w:before="50" w:beforeAutospacing="0" w:after="50" w:afterAutospacing="0"/>
        <w:rPr>
          <w:rFonts w:eastAsia="方正仿宋_GBK" w:cs="方正仿宋_GBK"/>
          <w:sz w:val="32"/>
          <w:szCs w:val="32"/>
        </w:rPr>
      </w:pPr>
      <w:r>
        <w:rPr>
          <w:rFonts w:hint="eastAsia" w:eastAsia="方正仿宋_GBK" w:cs="方正仿宋_GBK"/>
          <w:sz w:val="32"/>
          <w:szCs w:val="32"/>
        </w:rPr>
        <w:t>一、主要职能</w:t>
      </w:r>
    </w:p>
    <w:p>
      <w:pPr>
        <w:pStyle w:val="5"/>
        <w:widowControl/>
        <w:kinsoku w:val="0"/>
        <w:overflowPunct w:val="0"/>
        <w:autoSpaceDE w:val="0"/>
        <w:autoSpaceDN w:val="0"/>
        <w:spacing w:before="50" w:beforeAutospacing="0" w:after="50" w:afterAutospacing="0"/>
        <w:rPr>
          <w:rFonts w:eastAsia="方正仿宋_GBK" w:cs="方正仿宋_GBK"/>
          <w:sz w:val="32"/>
          <w:szCs w:val="32"/>
        </w:rPr>
      </w:pPr>
      <w:r>
        <w:rPr>
          <w:rFonts w:hint="eastAsia" w:eastAsia="方正仿宋_GBK" w:cs="方正仿宋_GBK"/>
          <w:sz w:val="32"/>
          <w:szCs w:val="32"/>
        </w:rPr>
        <w:t>二、部门基本情况</w:t>
      </w:r>
    </w:p>
    <w:p>
      <w:pPr>
        <w:pStyle w:val="5"/>
        <w:widowControl/>
        <w:kinsoku w:val="0"/>
        <w:overflowPunct w:val="0"/>
        <w:autoSpaceDE w:val="0"/>
        <w:autoSpaceDN w:val="0"/>
        <w:spacing w:before="50" w:beforeAutospacing="0" w:after="50" w:afterAutospacing="0"/>
        <w:rPr>
          <w:rFonts w:eastAsia="方正黑体_GBK" w:cs="方正黑体_GBK"/>
          <w:sz w:val="32"/>
          <w:szCs w:val="32"/>
        </w:rPr>
      </w:pPr>
      <w:r>
        <w:rPr>
          <w:rFonts w:hint="eastAsia" w:eastAsia="方正黑体_GBK" w:cs="方正黑体_GBK"/>
          <w:sz w:val="32"/>
          <w:szCs w:val="32"/>
        </w:rPr>
        <w:t>第二部分  2022年度部门决算表</w:t>
      </w:r>
    </w:p>
    <w:p>
      <w:pPr>
        <w:pStyle w:val="5"/>
        <w:widowControl/>
        <w:kinsoku w:val="0"/>
        <w:overflowPunct w:val="0"/>
        <w:autoSpaceDE w:val="0"/>
        <w:autoSpaceDN w:val="0"/>
        <w:spacing w:before="50" w:beforeAutospacing="0" w:after="50" w:afterAutospacing="0"/>
        <w:rPr>
          <w:rFonts w:eastAsia="方正仿宋_GBK" w:cs="方正仿宋_GBK"/>
          <w:sz w:val="32"/>
          <w:szCs w:val="32"/>
        </w:rPr>
      </w:pPr>
      <w:r>
        <w:rPr>
          <w:rFonts w:hint="eastAsia" w:eastAsia="方正仿宋_GBK" w:cs="方正仿宋_GBK"/>
          <w:sz w:val="32"/>
          <w:szCs w:val="32"/>
        </w:rPr>
        <w:t>一、收入支出决算总表</w:t>
      </w:r>
    </w:p>
    <w:p>
      <w:pPr>
        <w:pStyle w:val="5"/>
        <w:widowControl/>
        <w:kinsoku w:val="0"/>
        <w:overflowPunct w:val="0"/>
        <w:autoSpaceDE w:val="0"/>
        <w:autoSpaceDN w:val="0"/>
        <w:spacing w:before="50" w:beforeAutospacing="0" w:after="50" w:afterAutospacing="0"/>
        <w:rPr>
          <w:rFonts w:eastAsia="方正仿宋_GBK" w:cs="方正仿宋_GBK"/>
          <w:sz w:val="32"/>
          <w:szCs w:val="32"/>
        </w:rPr>
      </w:pPr>
      <w:r>
        <w:rPr>
          <w:rFonts w:hint="eastAsia" w:eastAsia="方正仿宋_GBK" w:cs="方正仿宋_GBK"/>
          <w:sz w:val="32"/>
          <w:szCs w:val="32"/>
        </w:rPr>
        <w:t>二、收入决算表</w:t>
      </w:r>
    </w:p>
    <w:p>
      <w:pPr>
        <w:pStyle w:val="5"/>
        <w:widowControl/>
        <w:kinsoku w:val="0"/>
        <w:overflowPunct w:val="0"/>
        <w:autoSpaceDE w:val="0"/>
        <w:autoSpaceDN w:val="0"/>
        <w:spacing w:before="50" w:beforeAutospacing="0" w:after="50" w:afterAutospacing="0"/>
        <w:rPr>
          <w:rFonts w:eastAsia="方正仿宋_GBK" w:cs="方正仿宋_GBK"/>
          <w:sz w:val="32"/>
          <w:szCs w:val="32"/>
        </w:rPr>
      </w:pPr>
      <w:r>
        <w:rPr>
          <w:rFonts w:hint="eastAsia" w:eastAsia="方正仿宋_GBK" w:cs="方正仿宋_GBK"/>
          <w:sz w:val="32"/>
          <w:szCs w:val="32"/>
        </w:rPr>
        <w:t>三、支出决算表</w:t>
      </w:r>
    </w:p>
    <w:p>
      <w:pPr>
        <w:pStyle w:val="5"/>
        <w:widowControl/>
        <w:kinsoku w:val="0"/>
        <w:overflowPunct w:val="0"/>
        <w:autoSpaceDE w:val="0"/>
        <w:autoSpaceDN w:val="0"/>
        <w:spacing w:before="50" w:beforeAutospacing="0" w:after="50" w:afterAutospacing="0"/>
        <w:rPr>
          <w:rFonts w:eastAsia="方正仿宋_GBK" w:cs="方正仿宋_GBK"/>
          <w:sz w:val="32"/>
          <w:szCs w:val="32"/>
        </w:rPr>
      </w:pPr>
      <w:r>
        <w:rPr>
          <w:rFonts w:hint="eastAsia" w:eastAsia="方正仿宋_GBK" w:cs="方正仿宋_GBK"/>
          <w:sz w:val="32"/>
          <w:szCs w:val="32"/>
        </w:rPr>
        <w:t>四、财政拨款收入支出决算总表</w:t>
      </w:r>
    </w:p>
    <w:p>
      <w:pPr>
        <w:pStyle w:val="5"/>
        <w:widowControl/>
        <w:kinsoku w:val="0"/>
        <w:overflowPunct w:val="0"/>
        <w:autoSpaceDE w:val="0"/>
        <w:autoSpaceDN w:val="0"/>
        <w:spacing w:before="50" w:beforeAutospacing="0" w:after="50" w:afterAutospacing="0"/>
        <w:rPr>
          <w:rFonts w:eastAsia="方正仿宋_GBK" w:cs="方正仿宋_GBK"/>
          <w:sz w:val="32"/>
          <w:szCs w:val="32"/>
        </w:rPr>
      </w:pPr>
      <w:r>
        <w:rPr>
          <w:rFonts w:hint="eastAsia" w:eastAsia="方正仿宋_GBK" w:cs="方正仿宋_GBK"/>
          <w:sz w:val="32"/>
          <w:szCs w:val="32"/>
        </w:rPr>
        <w:t>五、一般公共预算财政拨款收入支出决算表</w:t>
      </w:r>
    </w:p>
    <w:p>
      <w:pPr>
        <w:pStyle w:val="5"/>
        <w:widowControl/>
        <w:kinsoku w:val="0"/>
        <w:overflowPunct w:val="0"/>
        <w:autoSpaceDE w:val="0"/>
        <w:autoSpaceDN w:val="0"/>
        <w:spacing w:before="50" w:beforeAutospacing="0" w:after="50" w:afterAutospacing="0"/>
        <w:rPr>
          <w:rFonts w:eastAsia="方正仿宋_GBK" w:cs="方正仿宋_GBK"/>
          <w:sz w:val="32"/>
          <w:szCs w:val="32"/>
        </w:rPr>
      </w:pPr>
      <w:r>
        <w:rPr>
          <w:rFonts w:hint="eastAsia" w:eastAsia="方正仿宋_GBK" w:cs="方正仿宋_GBK"/>
          <w:sz w:val="32"/>
          <w:szCs w:val="32"/>
        </w:rPr>
        <w:t>六、一般公共预算财政拨款基本支出决算表</w:t>
      </w:r>
    </w:p>
    <w:p>
      <w:pPr>
        <w:pStyle w:val="5"/>
        <w:widowControl/>
        <w:kinsoku w:val="0"/>
        <w:overflowPunct w:val="0"/>
        <w:autoSpaceDE w:val="0"/>
        <w:autoSpaceDN w:val="0"/>
        <w:spacing w:before="50" w:beforeAutospacing="0" w:after="50" w:afterAutospacing="0"/>
        <w:rPr>
          <w:rFonts w:eastAsia="方正仿宋_GBK" w:cs="方正仿宋_GBK"/>
          <w:sz w:val="32"/>
          <w:szCs w:val="32"/>
        </w:rPr>
      </w:pPr>
      <w:r>
        <w:rPr>
          <w:rFonts w:hint="eastAsia" w:eastAsia="方正仿宋_GBK" w:cs="方正仿宋_GBK"/>
          <w:sz w:val="32"/>
          <w:szCs w:val="32"/>
        </w:rPr>
        <w:t>七、一般公共预算财政拨款项目支出决算表</w:t>
      </w:r>
    </w:p>
    <w:p>
      <w:pPr>
        <w:pStyle w:val="5"/>
        <w:widowControl/>
        <w:kinsoku w:val="0"/>
        <w:overflowPunct w:val="0"/>
        <w:autoSpaceDE w:val="0"/>
        <w:autoSpaceDN w:val="0"/>
        <w:spacing w:before="50" w:beforeAutospacing="0" w:after="50" w:afterAutospacing="0"/>
        <w:rPr>
          <w:rFonts w:eastAsia="方正仿宋_GBK" w:cs="方正仿宋_GBK"/>
          <w:sz w:val="32"/>
          <w:szCs w:val="32"/>
        </w:rPr>
      </w:pPr>
      <w:r>
        <w:rPr>
          <w:rFonts w:hint="eastAsia" w:eastAsia="方正仿宋_GBK" w:cs="方正仿宋_GBK"/>
          <w:sz w:val="32"/>
          <w:szCs w:val="32"/>
        </w:rPr>
        <w:t>八、政府性基金预算财政拨款收入支出决算表</w:t>
      </w:r>
    </w:p>
    <w:p>
      <w:pPr>
        <w:pStyle w:val="5"/>
        <w:widowControl/>
        <w:kinsoku w:val="0"/>
        <w:overflowPunct w:val="0"/>
        <w:autoSpaceDE w:val="0"/>
        <w:autoSpaceDN w:val="0"/>
        <w:spacing w:before="50" w:beforeAutospacing="0" w:after="50" w:afterAutospacing="0"/>
        <w:rPr>
          <w:rFonts w:eastAsia="方正仿宋_GBK" w:cs="方正仿宋_GBK"/>
          <w:sz w:val="32"/>
          <w:szCs w:val="32"/>
        </w:rPr>
      </w:pPr>
      <w:r>
        <w:rPr>
          <w:rFonts w:hint="eastAsia" w:eastAsia="方正仿宋_GBK" w:cs="方正仿宋_GBK"/>
          <w:sz w:val="32"/>
          <w:szCs w:val="32"/>
        </w:rPr>
        <w:t>九、国有资本经营预算财政拨款收入支出决算表</w:t>
      </w:r>
    </w:p>
    <w:p>
      <w:pPr>
        <w:pStyle w:val="5"/>
        <w:widowControl/>
        <w:kinsoku w:val="0"/>
        <w:overflowPunct w:val="0"/>
        <w:autoSpaceDE w:val="0"/>
        <w:autoSpaceDN w:val="0"/>
        <w:spacing w:before="50" w:beforeAutospacing="0" w:after="50" w:afterAutospacing="0"/>
        <w:rPr>
          <w:rFonts w:eastAsia="方正仿宋_GBK" w:cs="方正仿宋_GBK"/>
          <w:sz w:val="32"/>
          <w:szCs w:val="32"/>
        </w:rPr>
      </w:pPr>
      <w:r>
        <w:rPr>
          <w:rFonts w:hint="eastAsia" w:eastAsia="方正仿宋_GBK" w:cs="方正仿宋_GBK"/>
          <w:sz w:val="32"/>
          <w:szCs w:val="32"/>
        </w:rPr>
        <w:t>十、“三公”经费、行政参公单位机关运行经费情况表</w:t>
      </w:r>
    </w:p>
    <w:p>
      <w:pPr>
        <w:pStyle w:val="5"/>
        <w:widowControl/>
        <w:kinsoku w:val="0"/>
        <w:overflowPunct w:val="0"/>
        <w:autoSpaceDE w:val="0"/>
        <w:autoSpaceDN w:val="0"/>
        <w:spacing w:before="50" w:beforeAutospacing="0" w:after="50" w:afterAutospacing="0"/>
        <w:rPr>
          <w:rFonts w:eastAsia="方正黑体_GBK" w:cs="方正黑体_GBK"/>
          <w:sz w:val="32"/>
          <w:szCs w:val="32"/>
        </w:rPr>
      </w:pPr>
      <w:r>
        <w:rPr>
          <w:rFonts w:hint="eastAsia" w:eastAsia="方正黑体_GBK" w:cs="方正黑体_GBK"/>
          <w:sz w:val="32"/>
          <w:szCs w:val="32"/>
        </w:rPr>
        <w:t>第三部分  2022年度部门决算情况说明</w:t>
      </w:r>
    </w:p>
    <w:p>
      <w:pPr>
        <w:pStyle w:val="5"/>
        <w:widowControl/>
        <w:kinsoku w:val="0"/>
        <w:overflowPunct w:val="0"/>
        <w:autoSpaceDE w:val="0"/>
        <w:autoSpaceDN w:val="0"/>
        <w:spacing w:before="50" w:beforeAutospacing="0" w:after="50" w:afterAutospacing="0"/>
        <w:rPr>
          <w:rFonts w:eastAsia="方正仿宋_GBK" w:cs="方正仿宋_GBK"/>
          <w:sz w:val="32"/>
          <w:szCs w:val="32"/>
        </w:rPr>
      </w:pPr>
      <w:r>
        <w:rPr>
          <w:rFonts w:hint="eastAsia" w:eastAsia="方正仿宋_GBK" w:cs="方正仿宋_GBK"/>
          <w:sz w:val="32"/>
          <w:szCs w:val="32"/>
        </w:rPr>
        <w:t>一、收入决算情况说明</w:t>
      </w:r>
    </w:p>
    <w:p>
      <w:pPr>
        <w:pStyle w:val="5"/>
        <w:widowControl/>
        <w:kinsoku w:val="0"/>
        <w:overflowPunct w:val="0"/>
        <w:autoSpaceDE w:val="0"/>
        <w:autoSpaceDN w:val="0"/>
        <w:spacing w:before="50" w:beforeAutospacing="0" w:after="50" w:afterAutospacing="0"/>
        <w:rPr>
          <w:rFonts w:eastAsia="方正仿宋_GBK" w:cs="方正仿宋_GBK"/>
          <w:sz w:val="32"/>
          <w:szCs w:val="32"/>
        </w:rPr>
      </w:pPr>
      <w:r>
        <w:rPr>
          <w:rFonts w:hint="eastAsia" w:eastAsia="方正仿宋_GBK" w:cs="方正仿宋_GBK"/>
          <w:sz w:val="32"/>
          <w:szCs w:val="32"/>
        </w:rPr>
        <w:t>二、支出决算情况说明</w:t>
      </w:r>
    </w:p>
    <w:p>
      <w:pPr>
        <w:pStyle w:val="5"/>
        <w:widowControl/>
        <w:kinsoku w:val="0"/>
        <w:overflowPunct w:val="0"/>
        <w:autoSpaceDE w:val="0"/>
        <w:autoSpaceDN w:val="0"/>
        <w:spacing w:before="50" w:beforeAutospacing="0" w:after="50" w:afterAutospacing="0"/>
        <w:rPr>
          <w:rFonts w:eastAsia="方正仿宋_GBK" w:cs="方正仿宋_GBK"/>
          <w:sz w:val="32"/>
          <w:szCs w:val="32"/>
        </w:rPr>
      </w:pPr>
      <w:r>
        <w:rPr>
          <w:rFonts w:hint="eastAsia" w:eastAsia="方正仿宋_GBK" w:cs="方正仿宋_GBK"/>
          <w:sz w:val="32"/>
          <w:szCs w:val="32"/>
        </w:rPr>
        <w:t>三、一般公共预算财政拨款支出决算情况说明</w:t>
      </w:r>
    </w:p>
    <w:p>
      <w:pPr>
        <w:pStyle w:val="5"/>
        <w:widowControl/>
        <w:kinsoku w:val="0"/>
        <w:overflowPunct w:val="0"/>
        <w:autoSpaceDE w:val="0"/>
        <w:autoSpaceDN w:val="0"/>
        <w:spacing w:before="50" w:beforeAutospacing="0" w:after="50" w:afterAutospacing="0"/>
        <w:rPr>
          <w:rFonts w:eastAsia="方正仿宋_GBK" w:cs="方正仿宋_GBK"/>
          <w:sz w:val="32"/>
          <w:szCs w:val="32"/>
        </w:rPr>
      </w:pPr>
      <w:r>
        <w:rPr>
          <w:rFonts w:hint="eastAsia" w:eastAsia="方正仿宋_GBK" w:cs="方正仿宋_GBK"/>
          <w:sz w:val="32"/>
          <w:szCs w:val="32"/>
        </w:rPr>
        <w:t>四、财政拨款“三公”经费支出决算情况说明</w:t>
      </w:r>
    </w:p>
    <w:p>
      <w:pPr>
        <w:pStyle w:val="5"/>
        <w:widowControl/>
        <w:kinsoku w:val="0"/>
        <w:overflowPunct w:val="0"/>
        <w:autoSpaceDE w:val="0"/>
        <w:autoSpaceDN w:val="0"/>
        <w:spacing w:before="50" w:beforeAutospacing="0" w:after="50" w:afterAutospacing="0"/>
        <w:rPr>
          <w:rFonts w:eastAsia="方正黑体_GBK" w:cs="方正黑体_GBK"/>
          <w:sz w:val="32"/>
          <w:szCs w:val="32"/>
        </w:rPr>
      </w:pPr>
      <w:r>
        <w:rPr>
          <w:rFonts w:hint="eastAsia" w:eastAsia="方正黑体_GBK" w:cs="方正黑体_GBK"/>
          <w:sz w:val="32"/>
          <w:szCs w:val="32"/>
        </w:rPr>
        <w:t>第四部分其他重要事项及相关口径情况说明</w:t>
      </w:r>
    </w:p>
    <w:p>
      <w:pPr>
        <w:pStyle w:val="5"/>
        <w:widowControl/>
        <w:kinsoku w:val="0"/>
        <w:overflowPunct w:val="0"/>
        <w:autoSpaceDE w:val="0"/>
        <w:autoSpaceDN w:val="0"/>
        <w:spacing w:before="50" w:beforeAutospacing="0" w:after="50" w:afterAutospacing="0"/>
        <w:rPr>
          <w:rFonts w:eastAsia="方正仿宋_GBK" w:cs="方正仿宋_GBK"/>
          <w:sz w:val="32"/>
          <w:szCs w:val="32"/>
        </w:rPr>
      </w:pPr>
      <w:r>
        <w:rPr>
          <w:rFonts w:hint="eastAsia" w:eastAsia="方正仿宋_GBK" w:cs="方正仿宋_GBK"/>
          <w:sz w:val="32"/>
          <w:szCs w:val="32"/>
        </w:rPr>
        <w:t>一、机关运行经费支出情况</w:t>
      </w:r>
    </w:p>
    <w:p>
      <w:pPr>
        <w:pStyle w:val="5"/>
        <w:widowControl/>
        <w:kinsoku w:val="0"/>
        <w:overflowPunct w:val="0"/>
        <w:autoSpaceDE w:val="0"/>
        <w:autoSpaceDN w:val="0"/>
        <w:spacing w:before="50" w:beforeAutospacing="0" w:after="50" w:afterAutospacing="0"/>
        <w:rPr>
          <w:rFonts w:eastAsia="方正仿宋_GBK" w:cs="方正仿宋_GBK"/>
          <w:sz w:val="32"/>
          <w:szCs w:val="32"/>
        </w:rPr>
      </w:pPr>
      <w:r>
        <w:rPr>
          <w:rFonts w:hint="eastAsia" w:eastAsia="方正仿宋_GBK" w:cs="方正仿宋_GBK"/>
          <w:sz w:val="32"/>
          <w:szCs w:val="32"/>
        </w:rPr>
        <w:t>二、国有资产占用情况</w:t>
      </w:r>
    </w:p>
    <w:p>
      <w:pPr>
        <w:pStyle w:val="5"/>
        <w:widowControl/>
        <w:kinsoku w:val="0"/>
        <w:overflowPunct w:val="0"/>
        <w:autoSpaceDE w:val="0"/>
        <w:autoSpaceDN w:val="0"/>
        <w:spacing w:before="50" w:beforeAutospacing="0" w:after="50" w:afterAutospacing="0"/>
        <w:rPr>
          <w:rFonts w:eastAsia="方正仿宋_GBK" w:cs="方正仿宋_GBK"/>
          <w:sz w:val="32"/>
          <w:szCs w:val="32"/>
        </w:rPr>
      </w:pPr>
      <w:r>
        <w:rPr>
          <w:rFonts w:hint="eastAsia" w:eastAsia="方正仿宋_GBK" w:cs="方正仿宋_GBK"/>
          <w:sz w:val="32"/>
          <w:szCs w:val="32"/>
        </w:rPr>
        <w:t>三、政府采购支出情况</w:t>
      </w:r>
    </w:p>
    <w:p>
      <w:pPr>
        <w:pStyle w:val="5"/>
        <w:widowControl/>
        <w:kinsoku w:val="0"/>
        <w:overflowPunct w:val="0"/>
        <w:autoSpaceDE w:val="0"/>
        <w:autoSpaceDN w:val="0"/>
        <w:spacing w:before="50" w:beforeAutospacing="0" w:after="50" w:afterAutospacing="0"/>
        <w:rPr>
          <w:rFonts w:eastAsia="方正仿宋_GBK" w:cs="方正仿宋_GBK"/>
          <w:sz w:val="32"/>
          <w:szCs w:val="32"/>
        </w:rPr>
      </w:pPr>
      <w:r>
        <w:rPr>
          <w:rFonts w:hint="eastAsia" w:eastAsia="方正仿宋_GBK" w:cs="方正仿宋_GBK"/>
          <w:sz w:val="32"/>
          <w:szCs w:val="32"/>
        </w:rPr>
        <w:t>四、部门绩效自评情况</w:t>
      </w:r>
    </w:p>
    <w:p>
      <w:pPr>
        <w:pStyle w:val="5"/>
        <w:widowControl/>
        <w:kinsoku w:val="0"/>
        <w:overflowPunct w:val="0"/>
        <w:autoSpaceDE w:val="0"/>
        <w:autoSpaceDN w:val="0"/>
        <w:spacing w:before="50" w:beforeAutospacing="0" w:after="50" w:afterAutospacing="0"/>
        <w:rPr>
          <w:rFonts w:eastAsia="方正仿宋_GBK" w:cs="方正仿宋_GBK"/>
          <w:sz w:val="32"/>
          <w:szCs w:val="32"/>
        </w:rPr>
      </w:pPr>
      <w:r>
        <w:rPr>
          <w:rFonts w:hint="eastAsia" w:eastAsia="方正仿宋_GBK" w:cs="方正仿宋_GBK"/>
          <w:sz w:val="32"/>
          <w:szCs w:val="32"/>
        </w:rPr>
        <w:t>（一）部门整体支出绩效自评情况</w:t>
      </w:r>
    </w:p>
    <w:p>
      <w:pPr>
        <w:pStyle w:val="5"/>
        <w:widowControl/>
        <w:kinsoku w:val="0"/>
        <w:overflowPunct w:val="0"/>
        <w:autoSpaceDE w:val="0"/>
        <w:autoSpaceDN w:val="0"/>
        <w:spacing w:before="50" w:beforeAutospacing="0" w:after="50" w:afterAutospacing="0"/>
        <w:rPr>
          <w:rFonts w:eastAsia="方正仿宋_GBK" w:cs="方正仿宋_GBK"/>
          <w:sz w:val="32"/>
          <w:szCs w:val="32"/>
        </w:rPr>
      </w:pPr>
      <w:r>
        <w:rPr>
          <w:rFonts w:hint="eastAsia" w:eastAsia="方正仿宋_GBK" w:cs="方正仿宋_GBK"/>
          <w:sz w:val="32"/>
          <w:szCs w:val="32"/>
        </w:rPr>
        <w:t>（二）部门整体支出绩效自评表</w:t>
      </w:r>
    </w:p>
    <w:p>
      <w:pPr>
        <w:pStyle w:val="5"/>
        <w:widowControl/>
        <w:kinsoku w:val="0"/>
        <w:overflowPunct w:val="0"/>
        <w:autoSpaceDE w:val="0"/>
        <w:autoSpaceDN w:val="0"/>
        <w:spacing w:before="50" w:beforeAutospacing="0" w:after="50" w:afterAutospacing="0"/>
        <w:rPr>
          <w:rFonts w:eastAsia="方正仿宋_GBK" w:cs="方正仿宋_GBK"/>
          <w:sz w:val="32"/>
          <w:szCs w:val="32"/>
        </w:rPr>
      </w:pPr>
      <w:r>
        <w:rPr>
          <w:rFonts w:hint="eastAsia" w:eastAsia="方正仿宋_GBK" w:cs="方正仿宋_GBK"/>
          <w:sz w:val="32"/>
          <w:szCs w:val="32"/>
        </w:rPr>
        <w:t>（三）项目支出绩效自评表</w:t>
      </w:r>
    </w:p>
    <w:p>
      <w:pPr>
        <w:pStyle w:val="5"/>
        <w:widowControl/>
        <w:kinsoku w:val="0"/>
        <w:overflowPunct w:val="0"/>
        <w:autoSpaceDE w:val="0"/>
        <w:autoSpaceDN w:val="0"/>
        <w:spacing w:before="50" w:beforeAutospacing="0" w:after="50" w:afterAutospacing="0"/>
        <w:rPr>
          <w:rFonts w:eastAsia="方正仿宋_GBK" w:cs="方正仿宋_GBK"/>
          <w:sz w:val="32"/>
          <w:szCs w:val="32"/>
        </w:rPr>
      </w:pPr>
      <w:r>
        <w:rPr>
          <w:rFonts w:hint="eastAsia" w:eastAsia="方正仿宋_GBK" w:cs="方正仿宋_GBK"/>
          <w:sz w:val="32"/>
          <w:szCs w:val="32"/>
        </w:rPr>
        <w:t>五、其他重要事项情况说明</w:t>
      </w:r>
    </w:p>
    <w:p>
      <w:pPr>
        <w:pStyle w:val="5"/>
        <w:widowControl/>
        <w:kinsoku w:val="0"/>
        <w:overflowPunct w:val="0"/>
        <w:autoSpaceDE w:val="0"/>
        <w:autoSpaceDN w:val="0"/>
        <w:spacing w:before="50" w:beforeAutospacing="0" w:after="50" w:afterAutospacing="0"/>
        <w:rPr>
          <w:rFonts w:eastAsia="方正仿宋_GBK" w:cs="方正仿宋_GBK"/>
          <w:sz w:val="32"/>
          <w:szCs w:val="32"/>
        </w:rPr>
      </w:pPr>
      <w:r>
        <w:rPr>
          <w:rFonts w:hint="eastAsia" w:eastAsia="方正仿宋_GBK" w:cs="方正仿宋_GBK"/>
          <w:sz w:val="32"/>
          <w:szCs w:val="32"/>
        </w:rPr>
        <w:t>六、相关口径说明</w:t>
      </w:r>
    </w:p>
    <w:p>
      <w:pPr>
        <w:pStyle w:val="5"/>
        <w:widowControl/>
        <w:kinsoku w:val="0"/>
        <w:overflowPunct w:val="0"/>
        <w:autoSpaceDE w:val="0"/>
        <w:autoSpaceDN w:val="0"/>
        <w:spacing w:before="50" w:beforeAutospacing="0" w:after="50" w:afterAutospacing="0"/>
        <w:rPr>
          <w:rFonts w:eastAsia="方正黑体_GBK" w:cs="方正黑体_GBK"/>
          <w:sz w:val="32"/>
          <w:szCs w:val="32"/>
        </w:rPr>
      </w:pPr>
      <w:r>
        <w:rPr>
          <w:rFonts w:hint="eastAsia" w:eastAsia="方正黑体_GBK" w:cs="方正黑体_GBK"/>
          <w:sz w:val="32"/>
          <w:szCs w:val="32"/>
        </w:rPr>
        <w:t>第五部分  名词解释</w:t>
      </w:r>
    </w:p>
    <w:p>
      <w:pPr>
        <w:kinsoku w:val="0"/>
        <w:overflowPunct w:val="0"/>
        <w:autoSpaceDE w:val="0"/>
        <w:autoSpaceDN w:val="0"/>
        <w:spacing w:line="560" w:lineRule="exact"/>
        <w:ind w:firstLine="640" w:firstLineChars="200"/>
        <w:jc w:val="center"/>
        <w:rPr>
          <w:rFonts w:eastAsia="方正黑体_GBK" w:cs="方正黑体_GBK"/>
          <w:sz w:val="32"/>
          <w:szCs w:val="32"/>
        </w:rPr>
      </w:pPr>
      <w:r>
        <w:rPr>
          <w:rFonts w:hint="eastAsia" w:eastAsia="方正黑体_GBK" w:cs="方正黑体_GBK"/>
          <w:sz w:val="32"/>
          <w:szCs w:val="32"/>
        </w:rPr>
        <w:t>第一部分  部门概况</w:t>
      </w:r>
    </w:p>
    <w:p>
      <w:pPr>
        <w:kinsoku w:val="0"/>
        <w:overflowPunct w:val="0"/>
        <w:autoSpaceDE w:val="0"/>
        <w:autoSpaceDN w:val="0"/>
        <w:spacing w:line="560" w:lineRule="exact"/>
        <w:ind w:firstLine="640" w:firstLineChars="200"/>
        <w:jc w:val="left"/>
        <w:rPr>
          <w:rFonts w:eastAsia="方正黑体_GBK" w:cs="方正黑体_GBK"/>
          <w:sz w:val="32"/>
          <w:szCs w:val="32"/>
        </w:rPr>
      </w:pPr>
      <w:r>
        <w:rPr>
          <w:rFonts w:hint="eastAsia" w:eastAsia="方正黑体_GBK" w:cs="方正黑体_GBK"/>
          <w:sz w:val="32"/>
          <w:szCs w:val="32"/>
        </w:rPr>
        <w:t>一、主要职能</w:t>
      </w:r>
    </w:p>
    <w:p>
      <w:pPr>
        <w:kinsoku w:val="0"/>
        <w:overflowPunct w:val="0"/>
        <w:autoSpaceDE w:val="0"/>
        <w:autoSpaceDN w:val="0"/>
        <w:spacing w:line="560" w:lineRule="exact"/>
        <w:ind w:firstLine="640" w:firstLineChars="200"/>
        <w:jc w:val="left"/>
        <w:rPr>
          <w:rFonts w:eastAsia="方正楷体_GBK" w:cs="方正楷体_GBK"/>
          <w:sz w:val="32"/>
          <w:szCs w:val="32"/>
        </w:rPr>
      </w:pPr>
      <w:r>
        <w:rPr>
          <w:rFonts w:hint="eastAsia" w:eastAsia="方正楷体_GBK" w:cs="方正楷体_GBK"/>
          <w:bCs/>
          <w:sz w:val="32"/>
          <w:szCs w:val="32"/>
        </w:rPr>
        <w:t>（一）主要职能</w:t>
      </w:r>
    </w:p>
    <w:p>
      <w:pPr>
        <w:kinsoku w:val="0"/>
        <w:overflowPunct w:val="0"/>
        <w:autoSpaceDE w:val="0"/>
        <w:autoSpaceDN w:val="0"/>
        <w:spacing w:line="560" w:lineRule="exact"/>
        <w:ind w:firstLine="640" w:firstLineChars="200"/>
        <w:rPr>
          <w:rFonts w:eastAsia="方正仿宋_GBK" w:cs="方正仿宋_GBK"/>
          <w:sz w:val="32"/>
          <w:szCs w:val="32"/>
        </w:rPr>
      </w:pPr>
      <w:r>
        <w:rPr>
          <w:rFonts w:hint="eastAsia" w:eastAsia="方正仿宋_GBK" w:cs="方正仿宋_GBK"/>
          <w:sz w:val="32"/>
          <w:szCs w:val="32"/>
        </w:rPr>
        <w:t>1.贯彻执行有关城市管理和城市管理行政执法方面的方针、政策和法律法规、规章，执行市容景观、环境卫生、市政设施、城市绿化等行业标准和规范。负责编制辖区城市管理发展战略、中长期发展规划和年度计划，并组织实施。</w:t>
      </w:r>
      <w:r>
        <w:rPr>
          <w:rFonts w:hint="eastAsia" w:eastAsia="方正仿宋_GBK" w:cs="方正仿宋_GBK"/>
          <w:color w:val="000000"/>
          <w:sz w:val="32"/>
          <w:szCs w:val="32"/>
        </w:rPr>
        <w:t>制定辖</w:t>
      </w:r>
      <w:r>
        <w:rPr>
          <w:rFonts w:hint="eastAsia" w:eastAsia="方正仿宋_GBK" w:cs="方正仿宋_GBK"/>
          <w:sz w:val="32"/>
          <w:szCs w:val="32"/>
        </w:rPr>
        <w:t>区城市管理的规章制度、具体措施，并组织监督实施。</w:t>
      </w:r>
    </w:p>
    <w:p>
      <w:pPr>
        <w:kinsoku w:val="0"/>
        <w:overflowPunct w:val="0"/>
        <w:autoSpaceDE w:val="0"/>
        <w:autoSpaceDN w:val="0"/>
        <w:spacing w:line="560" w:lineRule="exact"/>
        <w:ind w:firstLine="640" w:firstLineChars="200"/>
        <w:jc w:val="left"/>
        <w:rPr>
          <w:rFonts w:eastAsia="方正仿宋_GBK" w:cs="方正仿宋_GBK"/>
          <w:sz w:val="32"/>
          <w:szCs w:val="32"/>
        </w:rPr>
      </w:pPr>
      <w:r>
        <w:rPr>
          <w:rFonts w:hint="eastAsia" w:eastAsia="方正仿宋_GBK" w:cs="方正仿宋_GBK"/>
          <w:sz w:val="32"/>
          <w:szCs w:val="32"/>
        </w:rPr>
        <w:t>2.负责组织城市管理的科学研究，承担城市管理方面重大科技项目、科技成果的推广和新技术引进工作。积极探索和推进城市管理公共服务的市场化、社会化、专业化和产业化发展。</w:t>
      </w:r>
    </w:p>
    <w:p>
      <w:pPr>
        <w:kinsoku w:val="0"/>
        <w:overflowPunct w:val="0"/>
        <w:autoSpaceDE w:val="0"/>
        <w:autoSpaceDN w:val="0"/>
        <w:spacing w:line="560" w:lineRule="exact"/>
        <w:ind w:firstLine="640" w:firstLineChars="200"/>
        <w:jc w:val="left"/>
        <w:rPr>
          <w:rFonts w:eastAsia="方正仿宋_GBK" w:cs="方正仿宋_GBK"/>
          <w:sz w:val="32"/>
          <w:szCs w:val="32"/>
        </w:rPr>
      </w:pPr>
      <w:r>
        <w:rPr>
          <w:rFonts w:hint="eastAsia" w:eastAsia="方正仿宋_GBK" w:cs="方正仿宋_GBK"/>
          <w:sz w:val="32"/>
          <w:szCs w:val="32"/>
        </w:rPr>
        <w:t>3.承担辖区市容景观、市政设施、环境卫生、园林绿化方面的行政审批职责。参与市政公用设施建设项目可行性研究报告的审查和工程竣工验收，承担辖区市政公用设施建成后的日常管养和维修职责。承担辖区市容环境卫生设施、市政设施和城市绿化设施综合维护管理职责。承担辖区城市道路路面、下水道、人行道、公共场所、路灯、公共照明及其附属设施的管养和维护。</w:t>
      </w:r>
      <w:r>
        <w:rPr>
          <w:rFonts w:hint="eastAsia" w:eastAsia="方正仿宋_GBK" w:cs="方正仿宋_GBK"/>
          <w:color w:val="000000"/>
          <w:sz w:val="32"/>
          <w:szCs w:val="32"/>
        </w:rPr>
        <w:t>拟订</w:t>
      </w:r>
      <w:r>
        <w:rPr>
          <w:rFonts w:hint="eastAsia" w:eastAsia="方正仿宋_GBK" w:cs="方正仿宋_GBK"/>
          <w:sz w:val="32"/>
          <w:szCs w:val="32"/>
        </w:rPr>
        <w:t>城市照明发展规划和年度建设维护计划，承担城区路灯规划和城市景观灯饰设置及监督检查工作，指导和监督检查城市照明工程建设和日常管养维护工作。</w:t>
      </w:r>
    </w:p>
    <w:p>
      <w:pPr>
        <w:kinsoku w:val="0"/>
        <w:overflowPunct w:val="0"/>
        <w:autoSpaceDE w:val="0"/>
        <w:autoSpaceDN w:val="0"/>
        <w:spacing w:line="560" w:lineRule="exact"/>
        <w:ind w:firstLine="640" w:firstLineChars="200"/>
        <w:jc w:val="left"/>
        <w:rPr>
          <w:rFonts w:eastAsia="方正仿宋_GBK" w:cs="方正仿宋_GBK"/>
          <w:sz w:val="32"/>
          <w:szCs w:val="32"/>
        </w:rPr>
      </w:pPr>
      <w:r>
        <w:rPr>
          <w:rFonts w:hint="eastAsia" w:eastAsia="方正仿宋_GBK" w:cs="方正仿宋_GBK"/>
          <w:sz w:val="32"/>
          <w:szCs w:val="32"/>
        </w:rPr>
        <w:t>4.承担城镇燃气设施新建和改造行政审批职责，指导和监督检查城市燃气工程建设和日常管养、维护工作。承担燃气应急保障、燃气经营与服务、燃气使用、燃气设施保护、燃气安全事故预防与处理及相关管理活动。参与城镇燃气发展规划编制工作和燃气设施建设工程竣工验收。</w:t>
      </w:r>
    </w:p>
    <w:p>
      <w:pPr>
        <w:kinsoku w:val="0"/>
        <w:overflowPunct w:val="0"/>
        <w:autoSpaceDE w:val="0"/>
        <w:autoSpaceDN w:val="0"/>
        <w:spacing w:line="560" w:lineRule="exact"/>
        <w:ind w:firstLine="640" w:firstLineChars="200"/>
        <w:jc w:val="left"/>
        <w:rPr>
          <w:rFonts w:eastAsia="方正仿宋_GBK" w:cs="方正仿宋_GBK"/>
          <w:sz w:val="32"/>
          <w:szCs w:val="32"/>
        </w:rPr>
      </w:pPr>
      <w:r>
        <w:rPr>
          <w:rFonts w:hint="eastAsia" w:eastAsia="方正仿宋_GBK" w:cs="方正仿宋_GBK"/>
          <w:sz w:val="32"/>
          <w:szCs w:val="32"/>
        </w:rPr>
        <w:t>5.负责</w:t>
      </w:r>
      <w:r>
        <w:rPr>
          <w:rFonts w:hint="eastAsia" w:eastAsia="方正仿宋_GBK" w:cs="方正仿宋_GBK"/>
          <w:color w:val="000000"/>
          <w:sz w:val="32"/>
          <w:szCs w:val="32"/>
        </w:rPr>
        <w:t>拟订</w:t>
      </w:r>
      <w:r>
        <w:rPr>
          <w:rFonts w:hint="eastAsia" w:eastAsia="方正仿宋_GBK" w:cs="方正仿宋_GBK"/>
          <w:sz w:val="32"/>
          <w:szCs w:val="32"/>
        </w:rPr>
        <w:t>县城户外广告设置、设施管理的标准。承担核准县城规划区户外广告设施设置许可，负责指导和监督检查县城规划区户外广告、店招店牌规范管理工作。</w:t>
      </w:r>
    </w:p>
    <w:p>
      <w:pPr>
        <w:kinsoku w:val="0"/>
        <w:overflowPunct w:val="0"/>
        <w:autoSpaceDE w:val="0"/>
        <w:autoSpaceDN w:val="0"/>
        <w:spacing w:line="560" w:lineRule="exact"/>
        <w:ind w:firstLine="640" w:firstLineChars="200"/>
        <w:jc w:val="left"/>
        <w:rPr>
          <w:rFonts w:eastAsia="方正仿宋_GBK" w:cs="方正仿宋_GBK"/>
          <w:sz w:val="32"/>
          <w:szCs w:val="32"/>
        </w:rPr>
      </w:pPr>
      <w:r>
        <w:rPr>
          <w:rFonts w:hint="eastAsia" w:eastAsia="方正仿宋_GBK" w:cs="方正仿宋_GBK"/>
          <w:sz w:val="32"/>
          <w:szCs w:val="32"/>
        </w:rPr>
        <w:t>6.负责指导和监督辖区城市环境卫生作业工作。参与市容环卫设施建设项目、城市新建及改（扩）建项目中市容环境配套设施方案的审核和监督。依据法规和相关规定负责城市管理有关行政性费用的征收监管工作。指导和监督管理城市生活垃圾、建筑垃圾、城市污水处置工作。</w:t>
      </w:r>
    </w:p>
    <w:p>
      <w:pPr>
        <w:kinsoku w:val="0"/>
        <w:overflowPunct w:val="0"/>
        <w:autoSpaceDE w:val="0"/>
        <w:autoSpaceDN w:val="0"/>
        <w:spacing w:line="560" w:lineRule="exact"/>
        <w:ind w:firstLine="640" w:firstLineChars="200"/>
        <w:jc w:val="left"/>
        <w:rPr>
          <w:rFonts w:eastAsia="方正仿宋_GBK" w:cs="方正仿宋_GBK"/>
          <w:sz w:val="32"/>
          <w:szCs w:val="32"/>
        </w:rPr>
      </w:pPr>
      <w:r>
        <w:rPr>
          <w:rFonts w:hint="eastAsia" w:eastAsia="方正仿宋_GBK" w:cs="方正仿宋_GBK"/>
          <w:sz w:val="32"/>
          <w:szCs w:val="32"/>
        </w:rPr>
        <w:t>7.贯彻执行国家和省、市、县关于园林绿化的法律法规，提出园林绿化的地方性规范性文件及相关的政策、措施、行业标准和行业规范建议，经审批后组织实施。配合相关部门编制辖区绿地系统规划方案。指导和监督管理辖区各级各类公园和古树名木保护工作。</w:t>
      </w:r>
    </w:p>
    <w:p>
      <w:pPr>
        <w:kinsoku w:val="0"/>
        <w:overflowPunct w:val="0"/>
        <w:autoSpaceDE w:val="0"/>
        <w:autoSpaceDN w:val="0"/>
        <w:spacing w:line="560" w:lineRule="exact"/>
        <w:ind w:firstLine="640" w:firstLineChars="200"/>
        <w:jc w:val="left"/>
        <w:rPr>
          <w:rFonts w:eastAsia="方正仿宋_GBK" w:cs="方正仿宋_GBK"/>
          <w:sz w:val="32"/>
          <w:szCs w:val="32"/>
        </w:rPr>
      </w:pPr>
      <w:r>
        <w:rPr>
          <w:rFonts w:hint="eastAsia" w:eastAsia="方正仿宋_GBK" w:cs="方正仿宋_GBK"/>
          <w:sz w:val="32"/>
          <w:szCs w:val="32"/>
        </w:rPr>
        <w:t xml:space="preserve">8.负责辖区人行道上机动车、非机动车停车位的设置和管理。承担辖区公共停车位的监督管理工作。 </w:t>
      </w:r>
    </w:p>
    <w:p>
      <w:pPr>
        <w:kinsoku w:val="0"/>
        <w:overflowPunct w:val="0"/>
        <w:autoSpaceDE w:val="0"/>
        <w:autoSpaceDN w:val="0"/>
        <w:spacing w:line="560" w:lineRule="exact"/>
        <w:ind w:firstLine="640" w:firstLineChars="200"/>
        <w:rPr>
          <w:rFonts w:eastAsia="方正仿宋_GBK" w:cs="方正仿宋_GBK"/>
          <w:sz w:val="32"/>
          <w:szCs w:val="32"/>
        </w:rPr>
      </w:pPr>
      <w:r>
        <w:rPr>
          <w:rFonts w:hint="eastAsia" w:eastAsia="方正仿宋_GBK" w:cs="方正仿宋_GBK"/>
          <w:sz w:val="32"/>
          <w:szCs w:val="32"/>
        </w:rPr>
        <w:t>9.负责</w:t>
      </w:r>
      <w:r>
        <w:rPr>
          <w:rFonts w:hint="eastAsia" w:eastAsia="方正仿宋_GBK" w:cs="方正仿宋_GBK"/>
          <w:color w:val="000000"/>
          <w:sz w:val="32"/>
          <w:szCs w:val="32"/>
        </w:rPr>
        <w:t>拟订全</w:t>
      </w:r>
      <w:r>
        <w:rPr>
          <w:rFonts w:hint="eastAsia" w:eastAsia="方正仿宋_GBK" w:cs="方正仿宋_GBK"/>
          <w:sz w:val="32"/>
          <w:szCs w:val="32"/>
        </w:rPr>
        <w:t>县数字化城市管理方案，并组织实施。承担全县数字化城市管理的统一指挥、统筹协调、监督检查和考核评价工作。负责“12319”数字化城市管理呼叫中心系统服务热线呼叫业务的受理分解、下达派遣指令、责任认定、跟踪督办及相关工作。承担城市管理行政执法项目新技术的引进、吸收和应用工作，建立城市管理行政执法工作信息网络，负责城市管理行政执法“110”社会联动工作。</w:t>
      </w:r>
    </w:p>
    <w:p>
      <w:pPr>
        <w:kinsoku w:val="0"/>
        <w:overflowPunct w:val="0"/>
        <w:autoSpaceDE w:val="0"/>
        <w:autoSpaceDN w:val="0"/>
        <w:spacing w:line="560" w:lineRule="exact"/>
        <w:ind w:firstLine="640" w:firstLineChars="200"/>
        <w:rPr>
          <w:rFonts w:eastAsia="方正仿宋_GBK" w:cs="方正仿宋_GBK"/>
          <w:sz w:val="32"/>
          <w:szCs w:val="32"/>
        </w:rPr>
      </w:pPr>
      <w:r>
        <w:rPr>
          <w:rFonts w:hint="eastAsia" w:eastAsia="方正仿宋_GBK" w:cs="方正仿宋_GBK"/>
          <w:sz w:val="32"/>
          <w:szCs w:val="32"/>
        </w:rPr>
        <w:t>10.依据国家有关法律、法规和规章，组织行使城市管理方面的行政处罚权。</w:t>
      </w:r>
    </w:p>
    <w:p>
      <w:pPr>
        <w:kinsoku w:val="0"/>
        <w:overflowPunct w:val="0"/>
        <w:autoSpaceDE w:val="0"/>
        <w:autoSpaceDN w:val="0"/>
        <w:spacing w:line="560" w:lineRule="exact"/>
        <w:ind w:firstLine="640" w:firstLineChars="200"/>
        <w:rPr>
          <w:rFonts w:eastAsia="方正仿宋_GBK" w:cs="方正仿宋_GBK"/>
          <w:sz w:val="32"/>
          <w:szCs w:val="32"/>
        </w:rPr>
      </w:pPr>
      <w:r>
        <w:rPr>
          <w:rFonts w:hint="eastAsia" w:eastAsia="方正仿宋_GBK" w:cs="方正仿宋_GBK"/>
          <w:sz w:val="32"/>
          <w:szCs w:val="32"/>
        </w:rPr>
        <w:t>11.承担有关城市管理行政执法方面的行政复议、行政诉讼、行政应诉和行政赔偿工作。负责全县城市管理行政执法行业的业务培训、监督检查和考核评比相关工作。</w:t>
      </w:r>
    </w:p>
    <w:p>
      <w:pPr>
        <w:kinsoku w:val="0"/>
        <w:overflowPunct w:val="0"/>
        <w:autoSpaceDE w:val="0"/>
        <w:autoSpaceDN w:val="0"/>
        <w:snapToGrid w:val="0"/>
        <w:spacing w:line="560" w:lineRule="exact"/>
        <w:ind w:firstLine="640" w:firstLineChars="200"/>
        <w:jc w:val="left"/>
        <w:rPr>
          <w:rFonts w:eastAsia="方正仿宋_GBK" w:cs="方正仿宋_GBK"/>
          <w:sz w:val="32"/>
          <w:szCs w:val="32"/>
        </w:rPr>
      </w:pPr>
      <w:r>
        <w:rPr>
          <w:rFonts w:hint="eastAsia" w:eastAsia="方正仿宋_GBK" w:cs="方正仿宋_GBK"/>
          <w:sz w:val="32"/>
          <w:szCs w:val="32"/>
        </w:rPr>
        <w:t>12.完成县委、县政府交办的其他任务。</w:t>
      </w:r>
    </w:p>
    <w:p>
      <w:pPr>
        <w:kinsoku w:val="0"/>
        <w:overflowPunct w:val="0"/>
        <w:autoSpaceDE w:val="0"/>
        <w:autoSpaceDN w:val="0"/>
        <w:spacing w:line="560" w:lineRule="exact"/>
        <w:ind w:firstLine="640" w:firstLineChars="200"/>
        <w:jc w:val="left"/>
        <w:rPr>
          <w:rFonts w:eastAsia="方正楷体_GBK" w:cs="方正楷体_GBK"/>
          <w:bCs/>
          <w:sz w:val="32"/>
          <w:szCs w:val="32"/>
        </w:rPr>
      </w:pPr>
      <w:r>
        <w:rPr>
          <w:rFonts w:hint="eastAsia" w:eastAsia="方正楷体_GBK" w:cs="方正楷体_GBK"/>
          <w:bCs/>
          <w:sz w:val="32"/>
          <w:szCs w:val="32"/>
        </w:rPr>
        <w:t>（二）2022年度重点工作任务概述</w:t>
      </w:r>
    </w:p>
    <w:p>
      <w:pPr>
        <w:pStyle w:val="2"/>
        <w:kinsoku w:val="0"/>
        <w:overflowPunct w:val="0"/>
        <w:autoSpaceDE w:val="0"/>
        <w:autoSpaceDN w:val="0"/>
        <w:spacing w:before="93" w:line="560" w:lineRule="exact"/>
        <w:ind w:firstLine="640" w:firstLineChars="200"/>
        <w:jc w:val="left"/>
        <w:rPr>
          <w:rFonts w:ascii="Times New Roman" w:eastAsia="方正仿宋_GBK" w:cs="方正仿宋_GBK"/>
          <w:color w:val="000000"/>
          <w:sz w:val="32"/>
          <w:szCs w:val="32"/>
        </w:rPr>
      </w:pPr>
      <w:r>
        <w:rPr>
          <w:rFonts w:hint="eastAsia" w:ascii="Times New Roman" w:eastAsia="方正仿宋_GBK" w:cs="方正仿宋_GBK"/>
          <w:sz w:val="32"/>
          <w:szCs w:val="32"/>
        </w:rPr>
        <w:t>1.深化城市精细化管理，推进城市管理“一体化服务”项目运行模式。</w:t>
      </w:r>
      <w:r>
        <w:rPr>
          <w:rFonts w:hint="eastAsia" w:ascii="Times New Roman" w:eastAsia="方正仿宋_GBK" w:cs="方正仿宋_GBK"/>
          <w:color w:val="000000"/>
          <w:sz w:val="32"/>
          <w:szCs w:val="32"/>
        </w:rPr>
        <w:t>引入社会资本，采取特许经营权的模式，通过公开招标，四川高漠生态环境科技有限公司获得特许经营权，推进新平县环卫园林一体化工作的综合服务管理，建立健全县城环卫园林市场化管理考评机制。年度完成垃圾处理2.13万吨，县城生活垃圾清运、无害化处理率达100%。</w:t>
      </w:r>
    </w:p>
    <w:p>
      <w:pPr>
        <w:pStyle w:val="2"/>
        <w:kinsoku w:val="0"/>
        <w:overflowPunct w:val="0"/>
        <w:autoSpaceDE w:val="0"/>
        <w:autoSpaceDN w:val="0"/>
        <w:spacing w:before="93" w:line="560" w:lineRule="exact"/>
        <w:ind w:firstLine="640" w:firstLineChars="200"/>
        <w:rPr>
          <w:rFonts w:ascii="Times New Roman" w:eastAsia="方正仿宋_GBK" w:cs="方正仿宋_GBK"/>
          <w:bCs/>
          <w:color w:val="000000"/>
          <w:sz w:val="32"/>
          <w:szCs w:val="32"/>
        </w:rPr>
      </w:pPr>
      <w:r>
        <w:rPr>
          <w:rFonts w:hint="eastAsia" w:ascii="Times New Roman" w:eastAsia="方正仿宋_GBK" w:cs="方正仿宋_GBK"/>
          <w:color w:val="000000"/>
          <w:sz w:val="32"/>
          <w:szCs w:val="32"/>
        </w:rPr>
        <w:t>2.</w:t>
      </w:r>
      <w:r>
        <w:rPr>
          <w:rFonts w:hint="eastAsia" w:ascii="Times New Roman" w:eastAsia="方正仿宋_GBK" w:cs="方正仿宋_GBK"/>
          <w:sz w:val="32"/>
          <w:szCs w:val="32"/>
        </w:rPr>
        <w:t>加强市政设施维护管理。2022年，修复公园广场及人行道地砖2068平方米，修缮路缘石248米，污水管网清淤1500米，疏通污水沟1500米；疏通、修复、更换、维护溢流阀门井、雨水篦子、窨井盖等各类市政道路排水设施640个，改造错接混接点2处，整治管网缺陷4处；新建雨水、污水管网200米，管护桥梁12座、消除隐患点31处；维修县城市政公厕26座、增设扶手10套，对10座公厕安装风幕机18个；维修洗手台破损设施67次，对23座公厕安装纱窗121道；维护维修45座洗手台设施334次。修复民族广场、小花园、和睦广场、溪湖公园座椅板凳113套，维修桂山公园健身器材25套</w:t>
      </w:r>
      <w:r>
        <w:rPr>
          <w:rFonts w:hint="eastAsia" w:ascii="Times New Roman" w:eastAsia="方正仿宋_GBK" w:cs="方正仿宋_GBK"/>
          <w:bCs/>
          <w:color w:val="000000"/>
          <w:sz w:val="32"/>
          <w:szCs w:val="32"/>
        </w:rPr>
        <w:t>。</w:t>
      </w:r>
    </w:p>
    <w:p>
      <w:pPr>
        <w:kinsoku w:val="0"/>
        <w:overflowPunct w:val="0"/>
        <w:autoSpaceDE w:val="0"/>
        <w:autoSpaceDN w:val="0"/>
        <w:spacing w:line="560" w:lineRule="exact"/>
        <w:ind w:firstLine="640" w:firstLineChars="200"/>
        <w:rPr>
          <w:rFonts w:eastAsia="方正仿宋_GBK" w:cs="方正仿宋_GBK"/>
          <w:color w:val="00B050"/>
          <w:sz w:val="32"/>
          <w:szCs w:val="32"/>
        </w:rPr>
      </w:pPr>
      <w:r>
        <w:rPr>
          <w:rFonts w:hint="eastAsia" w:eastAsia="方正仿宋_GBK" w:cs="方正仿宋_GBK"/>
          <w:bCs/>
          <w:color w:val="000000"/>
          <w:sz w:val="32"/>
          <w:szCs w:val="32"/>
        </w:rPr>
        <w:t>3.</w:t>
      </w:r>
      <w:r>
        <w:rPr>
          <w:rFonts w:hint="eastAsia" w:eastAsia="方正仿宋_GBK" w:cs="方正仿宋_GBK"/>
          <w:color w:val="000000"/>
          <w:sz w:val="32"/>
          <w:szCs w:val="32"/>
        </w:rPr>
        <w:t>修复县城损坏路灯、景观灯、庭园灯1668盏，全年</w:t>
      </w:r>
      <w:r>
        <w:rPr>
          <w:rFonts w:hint="eastAsia" w:eastAsia="方正仿宋_GBK" w:cs="方正仿宋_GBK"/>
          <w:bCs/>
          <w:color w:val="000000"/>
          <w:sz w:val="32"/>
          <w:szCs w:val="32"/>
        </w:rPr>
        <w:t>路灯耗电</w:t>
      </w:r>
      <w:r>
        <w:rPr>
          <w:rFonts w:hint="eastAsia" w:eastAsia="方正仿宋_GBK" w:cs="方正仿宋_GBK"/>
          <w:sz w:val="32"/>
          <w:szCs w:val="32"/>
        </w:rPr>
        <w:t>3755573</w:t>
      </w:r>
      <w:r>
        <w:rPr>
          <w:rFonts w:hint="eastAsia" w:eastAsia="方正仿宋_GBK" w:cs="方正仿宋_GBK"/>
          <w:bCs/>
          <w:color w:val="000000"/>
          <w:sz w:val="32"/>
          <w:szCs w:val="32"/>
        </w:rPr>
        <w:t>度、缴纳路灯电费1,758,589.20元，确保县城亮灯率达95%以上。</w:t>
      </w:r>
    </w:p>
    <w:p>
      <w:pPr>
        <w:pStyle w:val="2"/>
        <w:kinsoku w:val="0"/>
        <w:overflowPunct w:val="0"/>
        <w:autoSpaceDE w:val="0"/>
        <w:autoSpaceDN w:val="0"/>
        <w:spacing w:before="93" w:line="560" w:lineRule="exact"/>
        <w:ind w:firstLine="640" w:firstLineChars="200"/>
        <w:rPr>
          <w:rFonts w:ascii="Times New Roman" w:eastAsia="方正仿宋_GBK" w:cs="方正仿宋_GBK"/>
          <w:color w:val="000000"/>
          <w:sz w:val="32"/>
          <w:szCs w:val="32"/>
        </w:rPr>
      </w:pPr>
      <w:r>
        <w:rPr>
          <w:rFonts w:hint="eastAsia" w:ascii="Times New Roman" w:eastAsia="方正仿宋_GBK" w:cs="方正仿宋_GBK"/>
          <w:color w:val="000000"/>
          <w:sz w:val="32"/>
          <w:szCs w:val="32"/>
        </w:rPr>
        <w:t>4.</w:t>
      </w:r>
      <w:r>
        <w:rPr>
          <w:rFonts w:hint="eastAsia" w:ascii="Times New Roman" w:eastAsia="方正仿宋_GBK" w:cs="方正仿宋_GBK"/>
          <w:bCs/>
          <w:color w:val="000000"/>
          <w:sz w:val="32"/>
          <w:szCs w:val="32"/>
        </w:rPr>
        <w:t>发挥数管中心</w:t>
      </w:r>
      <w:r>
        <w:rPr>
          <w:rFonts w:hint="eastAsia" w:ascii="Times New Roman" w:eastAsia="方正仿宋_GBK" w:cs="方正仿宋_GBK"/>
          <w:bCs/>
          <w:color w:val="000000"/>
          <w:kern w:val="0"/>
          <w:sz w:val="32"/>
          <w:szCs w:val="32"/>
        </w:rPr>
        <w:t>智慧</w:t>
      </w:r>
      <w:r>
        <w:rPr>
          <w:rFonts w:hint="eastAsia" w:ascii="Times New Roman" w:eastAsia="方正仿宋_GBK" w:cs="方正仿宋_GBK"/>
          <w:bCs/>
          <w:color w:val="000000"/>
          <w:sz w:val="32"/>
          <w:szCs w:val="32"/>
        </w:rPr>
        <w:t>化</w:t>
      </w:r>
      <w:r>
        <w:rPr>
          <w:rFonts w:hint="eastAsia" w:ascii="Times New Roman" w:eastAsia="方正仿宋_GBK" w:cs="方正仿宋_GBK"/>
          <w:bCs/>
          <w:color w:val="000000"/>
          <w:kern w:val="0"/>
          <w:sz w:val="32"/>
          <w:szCs w:val="32"/>
        </w:rPr>
        <w:t>管理城市</w:t>
      </w:r>
      <w:r>
        <w:rPr>
          <w:rFonts w:hint="eastAsia" w:ascii="Times New Roman" w:eastAsia="方正仿宋_GBK" w:cs="方正仿宋_GBK"/>
          <w:bCs/>
          <w:color w:val="000000"/>
          <w:sz w:val="32"/>
          <w:szCs w:val="32"/>
        </w:rPr>
        <w:t>作用。依托数字城管监督指挥中心监控系统，加强与交通管理部门联防联动，积极整合公安部门的视频监控资源，稳步推进新平县智慧化城市管理，</w:t>
      </w:r>
      <w:r>
        <w:rPr>
          <w:rFonts w:hint="eastAsia" w:ascii="Times New Roman" w:eastAsia="方正仿宋_GBK" w:cs="方正仿宋_GBK"/>
          <w:kern w:val="0"/>
          <w:sz w:val="32"/>
          <w:szCs w:val="32"/>
        </w:rPr>
        <w:t>实现“智信”案件信息上报→受理→立案→派遣→监督处置→结案的案件处置智慧化。2022年</w:t>
      </w:r>
      <w:r>
        <w:rPr>
          <w:rFonts w:hint="eastAsia" w:ascii="Times New Roman" w:eastAsia="方正仿宋_GBK" w:cs="方正仿宋_GBK"/>
          <w:bCs/>
          <w:color w:val="000000"/>
          <w:sz w:val="32"/>
          <w:szCs w:val="32"/>
        </w:rPr>
        <w:t>共</w:t>
      </w:r>
      <w:r>
        <w:rPr>
          <w:rFonts w:hint="eastAsia" w:ascii="Times New Roman" w:eastAsia="方正仿宋_GBK" w:cs="方正仿宋_GBK"/>
          <w:color w:val="000000"/>
          <w:sz w:val="32"/>
          <w:szCs w:val="32"/>
        </w:rPr>
        <w:t>上报案件32813件，立案、结案32657件，结案率100%</w:t>
      </w:r>
      <w:bookmarkStart w:id="0" w:name="_GoBack"/>
      <w:bookmarkEnd w:id="0"/>
      <w:r>
        <w:rPr>
          <w:rFonts w:hint="eastAsia" w:ascii="Times New Roman" w:eastAsia="方正仿宋_GBK" w:cs="方正仿宋_GBK"/>
          <w:color w:val="000000"/>
          <w:sz w:val="32"/>
          <w:szCs w:val="32"/>
        </w:rPr>
        <w:t>。</w:t>
      </w:r>
    </w:p>
    <w:p>
      <w:pPr>
        <w:pStyle w:val="2"/>
        <w:kinsoku w:val="0"/>
        <w:overflowPunct w:val="0"/>
        <w:autoSpaceDE w:val="0"/>
        <w:autoSpaceDN w:val="0"/>
        <w:spacing w:before="93" w:line="560" w:lineRule="exact"/>
        <w:ind w:firstLine="640" w:firstLineChars="200"/>
        <w:jc w:val="left"/>
        <w:rPr>
          <w:rFonts w:ascii="Times New Roman" w:eastAsia="方正仿宋_GBK" w:cs="方正仿宋_GBK"/>
          <w:sz w:val="32"/>
          <w:szCs w:val="32"/>
        </w:rPr>
      </w:pPr>
      <w:r>
        <w:rPr>
          <w:rFonts w:hint="eastAsia" w:ascii="Times New Roman" w:eastAsia="方正仿宋_GBK" w:cs="方正仿宋_GBK"/>
          <w:color w:val="000000"/>
          <w:sz w:val="32"/>
          <w:szCs w:val="32"/>
        </w:rPr>
        <w:t>5.推进新平县污水处理厂改扩建项目，新平县再生水回用及配套管网工程，新平县城市燃气管网项目建设，新平县城智能化停车建设项目等重点项目建设，完善城市配套建设，不断完善城市功能。</w:t>
      </w:r>
    </w:p>
    <w:p>
      <w:pPr>
        <w:kinsoku w:val="0"/>
        <w:overflowPunct w:val="0"/>
        <w:autoSpaceDE w:val="0"/>
        <w:autoSpaceDN w:val="0"/>
        <w:spacing w:line="560" w:lineRule="exact"/>
        <w:ind w:firstLine="640" w:firstLineChars="200"/>
        <w:jc w:val="left"/>
        <w:rPr>
          <w:rFonts w:eastAsia="方正黑体_GBK" w:cs="方正黑体_GBK"/>
          <w:sz w:val="32"/>
          <w:szCs w:val="32"/>
        </w:rPr>
      </w:pPr>
      <w:r>
        <w:rPr>
          <w:rFonts w:hint="eastAsia" w:eastAsia="方正黑体_GBK" w:cs="方正黑体_GBK"/>
          <w:sz w:val="32"/>
          <w:szCs w:val="32"/>
        </w:rPr>
        <w:t>二、部门基本情况</w:t>
      </w:r>
    </w:p>
    <w:p>
      <w:pPr>
        <w:kinsoku w:val="0"/>
        <w:overflowPunct w:val="0"/>
        <w:autoSpaceDE w:val="0"/>
        <w:autoSpaceDN w:val="0"/>
        <w:spacing w:line="560" w:lineRule="exact"/>
        <w:ind w:firstLine="640" w:firstLineChars="200"/>
        <w:jc w:val="left"/>
        <w:rPr>
          <w:rFonts w:eastAsia="方正楷体_GBK" w:cs="方正楷体_GBK"/>
          <w:bCs/>
          <w:sz w:val="32"/>
          <w:szCs w:val="32"/>
        </w:rPr>
      </w:pPr>
      <w:r>
        <w:rPr>
          <w:rFonts w:hint="eastAsia" w:eastAsia="方正楷体_GBK" w:cs="方正楷体_GBK"/>
          <w:bCs/>
          <w:sz w:val="32"/>
          <w:szCs w:val="32"/>
        </w:rPr>
        <w:t>（一）机构设置情况</w:t>
      </w:r>
    </w:p>
    <w:p>
      <w:pPr>
        <w:kinsoku w:val="0"/>
        <w:overflowPunct w:val="0"/>
        <w:autoSpaceDE w:val="0"/>
        <w:autoSpaceDN w:val="0"/>
        <w:spacing w:line="560" w:lineRule="exact"/>
        <w:ind w:firstLine="640" w:firstLineChars="200"/>
        <w:rPr>
          <w:rFonts w:eastAsia="方正仿宋_GBK" w:cs="方正仿宋_GBK"/>
          <w:sz w:val="32"/>
          <w:szCs w:val="32"/>
        </w:rPr>
      </w:pPr>
      <w:r>
        <w:rPr>
          <w:rFonts w:hint="eastAsia" w:eastAsia="方正仿宋_GBK" w:cs="方正仿宋_GBK"/>
          <w:sz w:val="32"/>
          <w:szCs w:val="32"/>
        </w:rPr>
        <w:t>我部门共设置3个内设机构，包括：办公室、综合业务股和市政公用事业管理股。</w:t>
      </w:r>
    </w:p>
    <w:p>
      <w:pPr>
        <w:kinsoku w:val="0"/>
        <w:overflowPunct w:val="0"/>
        <w:autoSpaceDE w:val="0"/>
        <w:autoSpaceDN w:val="0"/>
        <w:spacing w:line="560" w:lineRule="exact"/>
        <w:ind w:firstLine="640" w:firstLineChars="200"/>
        <w:rPr>
          <w:rFonts w:eastAsia="方正仿宋_GBK" w:cs="方正仿宋_GBK"/>
          <w:sz w:val="32"/>
          <w:szCs w:val="32"/>
        </w:rPr>
      </w:pPr>
      <w:r>
        <w:rPr>
          <w:rFonts w:hint="eastAsia" w:eastAsia="方正仿宋_GBK" w:cs="方正仿宋_GBK"/>
          <w:sz w:val="32"/>
          <w:szCs w:val="32"/>
        </w:rPr>
        <w:t>所属单位2个，分别是：</w:t>
      </w:r>
    </w:p>
    <w:p>
      <w:pPr>
        <w:kinsoku w:val="0"/>
        <w:overflowPunct w:val="0"/>
        <w:autoSpaceDE w:val="0"/>
        <w:autoSpaceDN w:val="0"/>
        <w:spacing w:line="560" w:lineRule="exact"/>
        <w:ind w:firstLine="640" w:firstLineChars="200"/>
        <w:rPr>
          <w:rFonts w:eastAsia="方正仿宋_GBK" w:cs="方正仿宋_GBK"/>
          <w:sz w:val="32"/>
          <w:szCs w:val="32"/>
        </w:rPr>
      </w:pPr>
      <w:r>
        <w:rPr>
          <w:rFonts w:hint="eastAsia" w:eastAsia="方正仿宋_GBK" w:cs="方正仿宋_GBK"/>
          <w:sz w:val="32"/>
          <w:szCs w:val="32"/>
        </w:rPr>
        <w:t>1.新平彝族傣族自治县城市公用设施管理中心；</w:t>
      </w:r>
    </w:p>
    <w:p>
      <w:pPr>
        <w:kinsoku w:val="0"/>
        <w:overflowPunct w:val="0"/>
        <w:autoSpaceDE w:val="0"/>
        <w:autoSpaceDN w:val="0"/>
        <w:spacing w:line="560" w:lineRule="exact"/>
        <w:ind w:firstLine="640" w:firstLineChars="200"/>
        <w:rPr>
          <w:rFonts w:eastAsia="方正仿宋_GBK" w:cs="方正仿宋_GBK"/>
          <w:sz w:val="32"/>
          <w:szCs w:val="32"/>
        </w:rPr>
      </w:pPr>
      <w:r>
        <w:rPr>
          <w:rFonts w:hint="eastAsia" w:eastAsia="方正仿宋_GBK" w:cs="方正仿宋_GBK"/>
          <w:sz w:val="32"/>
          <w:szCs w:val="32"/>
        </w:rPr>
        <w:t>2.新平彝族傣族自治县城市管理综合行政执法大队。</w:t>
      </w:r>
    </w:p>
    <w:p>
      <w:pPr>
        <w:kinsoku w:val="0"/>
        <w:overflowPunct w:val="0"/>
        <w:autoSpaceDE w:val="0"/>
        <w:autoSpaceDN w:val="0"/>
        <w:spacing w:line="560" w:lineRule="exact"/>
        <w:ind w:firstLine="640" w:firstLineChars="200"/>
        <w:jc w:val="left"/>
        <w:rPr>
          <w:rFonts w:eastAsia="方正楷体_GBK" w:cs="方正楷体_GBK"/>
          <w:bCs/>
          <w:sz w:val="32"/>
          <w:szCs w:val="32"/>
        </w:rPr>
      </w:pPr>
      <w:r>
        <w:rPr>
          <w:rFonts w:hint="eastAsia" w:eastAsia="方正楷体_GBK" w:cs="方正楷体_GBK"/>
          <w:bCs/>
          <w:sz w:val="32"/>
          <w:szCs w:val="32"/>
        </w:rPr>
        <w:t>（二）决算单位构成</w:t>
      </w:r>
    </w:p>
    <w:p>
      <w:pPr>
        <w:kinsoku w:val="0"/>
        <w:overflowPunct w:val="0"/>
        <w:autoSpaceDE w:val="0"/>
        <w:autoSpaceDN w:val="0"/>
        <w:spacing w:line="560" w:lineRule="exact"/>
        <w:ind w:firstLine="640" w:firstLineChars="200"/>
        <w:rPr>
          <w:rFonts w:eastAsia="方正仿宋_GBK" w:cs="方正仿宋_GBK"/>
          <w:sz w:val="32"/>
          <w:szCs w:val="32"/>
        </w:rPr>
      </w:pPr>
      <w:r>
        <w:rPr>
          <w:rFonts w:hint="eastAsia" w:eastAsia="方正仿宋_GBK" w:cs="方正仿宋_GBK"/>
          <w:sz w:val="32"/>
          <w:szCs w:val="32"/>
        </w:rPr>
        <w:t>纳入新平县城市管理局2022年度部门决算编报的单位共3个。其中：行政单位1个，参照公务员法管理的事业单位</w:t>
      </w:r>
      <w:r>
        <w:rPr>
          <w:rFonts w:hint="eastAsia" w:eastAsia="方正仿宋_GBK" w:cs="方正仿宋_GBK"/>
          <w:bCs/>
          <w:sz w:val="32"/>
          <w:szCs w:val="32"/>
        </w:rPr>
        <w:t>0</w:t>
      </w:r>
      <w:r>
        <w:rPr>
          <w:rFonts w:hint="eastAsia" w:eastAsia="方正仿宋_GBK" w:cs="方正仿宋_GBK"/>
          <w:sz w:val="32"/>
          <w:szCs w:val="32"/>
        </w:rPr>
        <w:t>个，其他事业单位2个。分别是：</w:t>
      </w:r>
    </w:p>
    <w:p>
      <w:pPr>
        <w:kinsoku w:val="0"/>
        <w:overflowPunct w:val="0"/>
        <w:autoSpaceDE w:val="0"/>
        <w:autoSpaceDN w:val="0"/>
        <w:spacing w:line="560" w:lineRule="exact"/>
        <w:ind w:firstLine="640" w:firstLineChars="200"/>
        <w:rPr>
          <w:rFonts w:eastAsia="方正仿宋_GBK" w:cs="方正仿宋_GBK"/>
          <w:sz w:val="32"/>
          <w:szCs w:val="32"/>
        </w:rPr>
      </w:pPr>
      <w:r>
        <w:rPr>
          <w:rFonts w:hint="eastAsia" w:eastAsia="方正仿宋_GBK" w:cs="方正仿宋_GBK"/>
          <w:sz w:val="32"/>
          <w:szCs w:val="32"/>
        </w:rPr>
        <w:t>1.新平彝族傣族自治县城市管理局；</w:t>
      </w:r>
    </w:p>
    <w:p>
      <w:pPr>
        <w:kinsoku w:val="0"/>
        <w:overflowPunct w:val="0"/>
        <w:autoSpaceDE w:val="0"/>
        <w:autoSpaceDN w:val="0"/>
        <w:spacing w:line="560" w:lineRule="exact"/>
        <w:ind w:firstLine="640" w:firstLineChars="200"/>
        <w:rPr>
          <w:rFonts w:eastAsia="方正仿宋_GBK" w:cs="方正仿宋_GBK"/>
          <w:sz w:val="32"/>
          <w:szCs w:val="32"/>
        </w:rPr>
      </w:pPr>
      <w:r>
        <w:rPr>
          <w:rFonts w:hint="eastAsia" w:eastAsia="方正仿宋_GBK" w:cs="方正仿宋_GBK"/>
          <w:sz w:val="32"/>
          <w:szCs w:val="32"/>
        </w:rPr>
        <w:t>2.新平彝族傣族自治县城市公用设施管理中心；</w:t>
      </w:r>
    </w:p>
    <w:p>
      <w:pPr>
        <w:kinsoku w:val="0"/>
        <w:overflowPunct w:val="0"/>
        <w:autoSpaceDE w:val="0"/>
        <w:autoSpaceDN w:val="0"/>
        <w:spacing w:line="560" w:lineRule="exact"/>
        <w:ind w:firstLine="640" w:firstLineChars="200"/>
        <w:rPr>
          <w:rFonts w:eastAsia="方正仿宋_GBK" w:cs="方正仿宋_GBK"/>
          <w:sz w:val="32"/>
          <w:szCs w:val="32"/>
        </w:rPr>
      </w:pPr>
      <w:r>
        <w:rPr>
          <w:rFonts w:hint="eastAsia" w:eastAsia="方正仿宋_GBK" w:cs="方正仿宋_GBK"/>
          <w:sz w:val="32"/>
          <w:szCs w:val="32"/>
        </w:rPr>
        <w:t>3.新平彝族傣族自治县城市管理综合行政执法大队。</w:t>
      </w:r>
    </w:p>
    <w:p>
      <w:pPr>
        <w:kinsoku w:val="0"/>
        <w:overflowPunct w:val="0"/>
        <w:autoSpaceDE w:val="0"/>
        <w:autoSpaceDN w:val="0"/>
        <w:spacing w:line="560" w:lineRule="exact"/>
        <w:ind w:firstLine="640" w:firstLineChars="200"/>
        <w:jc w:val="left"/>
        <w:rPr>
          <w:rFonts w:eastAsia="方正楷体_GBK" w:cs="方正楷体_GBK"/>
          <w:bCs/>
          <w:sz w:val="32"/>
          <w:szCs w:val="32"/>
        </w:rPr>
      </w:pPr>
      <w:r>
        <w:rPr>
          <w:rFonts w:hint="eastAsia" w:eastAsia="方正楷体_GBK" w:cs="方正楷体_GBK"/>
          <w:bCs/>
          <w:sz w:val="32"/>
          <w:szCs w:val="32"/>
        </w:rPr>
        <w:t xml:space="preserve">（三）部门人员和车辆的编制及实有情况 </w:t>
      </w:r>
    </w:p>
    <w:p>
      <w:pPr>
        <w:kinsoku w:val="0"/>
        <w:overflowPunct w:val="0"/>
        <w:autoSpaceDE w:val="0"/>
        <w:autoSpaceDN w:val="0"/>
        <w:spacing w:line="560" w:lineRule="exact"/>
        <w:ind w:firstLine="640" w:firstLineChars="200"/>
        <w:rPr>
          <w:rFonts w:eastAsia="方正仿宋_GBK" w:cs="方正仿宋_GBK"/>
          <w:kern w:val="0"/>
          <w:sz w:val="32"/>
          <w:szCs w:val="32"/>
        </w:rPr>
      </w:pPr>
      <w:r>
        <w:rPr>
          <w:rFonts w:hint="eastAsia" w:eastAsia="方正仿宋_GBK" w:cs="方正仿宋_GBK"/>
          <w:sz w:val="32"/>
          <w:szCs w:val="32"/>
        </w:rPr>
        <w:t>新平彝族傣族自治县城市管理局2022年末实有人员编制73</w:t>
      </w:r>
      <w:r>
        <w:rPr>
          <w:rFonts w:hint="eastAsia" w:eastAsia="方正仿宋_GBK" w:cs="方正仿宋_GBK"/>
          <w:kern w:val="0"/>
          <w:sz w:val="32"/>
          <w:szCs w:val="32"/>
        </w:rPr>
        <w:t>人。其中：行政编制</w:t>
      </w:r>
      <w:r>
        <w:rPr>
          <w:rFonts w:hint="eastAsia" w:eastAsia="方正仿宋_GBK" w:cs="方正仿宋_GBK"/>
          <w:sz w:val="32"/>
          <w:szCs w:val="32"/>
        </w:rPr>
        <w:t>6</w:t>
      </w:r>
      <w:r>
        <w:rPr>
          <w:rFonts w:hint="eastAsia" w:eastAsia="方正仿宋_GBK" w:cs="方正仿宋_GBK"/>
          <w:kern w:val="0"/>
          <w:sz w:val="32"/>
          <w:szCs w:val="32"/>
        </w:rPr>
        <w:t>人（含行政工勤编制</w:t>
      </w:r>
      <w:r>
        <w:rPr>
          <w:rFonts w:hint="eastAsia" w:eastAsia="方正仿宋_GBK" w:cs="方正仿宋_GBK"/>
          <w:sz w:val="32"/>
          <w:szCs w:val="32"/>
        </w:rPr>
        <w:t>0</w:t>
      </w:r>
      <w:r>
        <w:rPr>
          <w:rFonts w:hint="eastAsia" w:eastAsia="方正仿宋_GBK" w:cs="方正仿宋_GBK"/>
          <w:kern w:val="0"/>
          <w:sz w:val="32"/>
          <w:szCs w:val="32"/>
        </w:rPr>
        <w:t>人），事业编制</w:t>
      </w:r>
      <w:r>
        <w:rPr>
          <w:rFonts w:hint="eastAsia" w:eastAsia="方正仿宋_GBK" w:cs="方正仿宋_GBK"/>
          <w:sz w:val="32"/>
          <w:szCs w:val="32"/>
        </w:rPr>
        <w:t>67</w:t>
      </w:r>
      <w:r>
        <w:rPr>
          <w:rFonts w:hint="eastAsia" w:eastAsia="方正仿宋_GBK" w:cs="方正仿宋_GBK"/>
          <w:kern w:val="0"/>
          <w:sz w:val="32"/>
          <w:szCs w:val="32"/>
        </w:rPr>
        <w:t>人（含参公管理事业编制</w:t>
      </w:r>
      <w:r>
        <w:rPr>
          <w:rFonts w:hint="eastAsia" w:eastAsia="方正仿宋_GBK" w:cs="方正仿宋_GBK"/>
          <w:sz w:val="32"/>
          <w:szCs w:val="32"/>
        </w:rPr>
        <w:t>0</w:t>
      </w:r>
      <w:r>
        <w:rPr>
          <w:rFonts w:hint="eastAsia" w:eastAsia="方正仿宋_GBK" w:cs="方正仿宋_GBK"/>
          <w:kern w:val="0"/>
          <w:sz w:val="32"/>
          <w:szCs w:val="32"/>
        </w:rPr>
        <w:t>人）；在职在编实有行政人员</w:t>
      </w:r>
      <w:r>
        <w:rPr>
          <w:rFonts w:hint="eastAsia" w:eastAsia="方正仿宋_GBK" w:cs="方正仿宋_GBK"/>
          <w:sz w:val="32"/>
          <w:szCs w:val="32"/>
        </w:rPr>
        <w:t>6</w:t>
      </w:r>
      <w:r>
        <w:rPr>
          <w:rFonts w:hint="eastAsia" w:eastAsia="方正仿宋_GBK" w:cs="方正仿宋_GBK"/>
          <w:kern w:val="0"/>
          <w:sz w:val="32"/>
          <w:szCs w:val="32"/>
        </w:rPr>
        <w:t>人（含行政工勤人员</w:t>
      </w:r>
      <w:r>
        <w:rPr>
          <w:rFonts w:hint="eastAsia" w:eastAsia="方正仿宋_GBK" w:cs="方正仿宋_GBK"/>
          <w:sz w:val="32"/>
          <w:szCs w:val="32"/>
        </w:rPr>
        <w:t>0</w:t>
      </w:r>
      <w:r>
        <w:rPr>
          <w:rFonts w:hint="eastAsia" w:eastAsia="方正仿宋_GBK" w:cs="方正仿宋_GBK"/>
          <w:kern w:val="0"/>
          <w:sz w:val="32"/>
          <w:szCs w:val="32"/>
        </w:rPr>
        <w:t>人），事业人员</w:t>
      </w:r>
      <w:r>
        <w:rPr>
          <w:rFonts w:hint="eastAsia" w:eastAsia="方正仿宋_GBK" w:cs="方正仿宋_GBK"/>
          <w:sz w:val="32"/>
          <w:szCs w:val="32"/>
        </w:rPr>
        <w:t>66</w:t>
      </w:r>
      <w:r>
        <w:rPr>
          <w:rFonts w:hint="eastAsia" w:eastAsia="方正仿宋_GBK" w:cs="方正仿宋_GBK"/>
          <w:kern w:val="0"/>
          <w:sz w:val="32"/>
          <w:szCs w:val="32"/>
        </w:rPr>
        <w:t>人（</w:t>
      </w:r>
      <w:r>
        <w:rPr>
          <w:rFonts w:hint="eastAsia" w:eastAsia="方正仿宋_GBK" w:cs="方正仿宋_GBK"/>
          <w:spacing w:val="-20"/>
          <w:kern w:val="0"/>
          <w:sz w:val="32"/>
          <w:szCs w:val="32"/>
        </w:rPr>
        <w:t>含参公管理事业人员</w:t>
      </w:r>
      <w:r>
        <w:rPr>
          <w:rFonts w:hint="eastAsia" w:eastAsia="方正仿宋_GBK" w:cs="方正仿宋_GBK"/>
          <w:spacing w:val="-20"/>
          <w:sz w:val="32"/>
          <w:szCs w:val="32"/>
        </w:rPr>
        <w:t>0</w:t>
      </w:r>
      <w:r>
        <w:rPr>
          <w:rFonts w:hint="eastAsia" w:eastAsia="方正仿宋_GBK" w:cs="方正仿宋_GBK"/>
          <w:spacing w:val="-20"/>
          <w:kern w:val="0"/>
          <w:sz w:val="32"/>
          <w:szCs w:val="32"/>
        </w:rPr>
        <w:t>人</w:t>
      </w:r>
      <w:r>
        <w:rPr>
          <w:rFonts w:hint="eastAsia" w:eastAsia="方正仿宋_GBK" w:cs="方正仿宋_GBK"/>
          <w:kern w:val="0"/>
          <w:sz w:val="32"/>
          <w:szCs w:val="32"/>
        </w:rPr>
        <w:t>）。</w:t>
      </w:r>
    </w:p>
    <w:p>
      <w:pPr>
        <w:kinsoku w:val="0"/>
        <w:overflowPunct w:val="0"/>
        <w:autoSpaceDE w:val="0"/>
        <w:autoSpaceDN w:val="0"/>
        <w:spacing w:line="560" w:lineRule="exact"/>
        <w:ind w:firstLine="640" w:firstLineChars="200"/>
        <w:rPr>
          <w:rFonts w:eastAsia="方正仿宋_GBK" w:cs="方正仿宋_GBK"/>
          <w:kern w:val="0"/>
          <w:sz w:val="32"/>
          <w:szCs w:val="32"/>
        </w:rPr>
      </w:pPr>
      <w:r>
        <w:rPr>
          <w:rFonts w:hint="eastAsia" w:eastAsia="方正仿宋_GBK" w:cs="方正仿宋_GBK"/>
          <w:kern w:val="0"/>
          <w:sz w:val="32"/>
          <w:szCs w:val="32"/>
        </w:rPr>
        <w:t>尚未移交养老保险基金发放养老金的离退休人员共计</w:t>
      </w:r>
      <w:r>
        <w:rPr>
          <w:rFonts w:hint="eastAsia" w:eastAsia="方正仿宋_GBK" w:cs="方正仿宋_GBK"/>
          <w:sz w:val="32"/>
          <w:szCs w:val="32"/>
        </w:rPr>
        <w:t>0</w:t>
      </w:r>
      <w:r>
        <w:rPr>
          <w:rFonts w:hint="eastAsia" w:eastAsia="方正仿宋_GBK" w:cs="方正仿宋_GBK"/>
          <w:kern w:val="0"/>
          <w:sz w:val="32"/>
          <w:szCs w:val="32"/>
        </w:rPr>
        <w:t>人（离休</w:t>
      </w:r>
      <w:r>
        <w:rPr>
          <w:rFonts w:hint="eastAsia" w:eastAsia="方正仿宋_GBK" w:cs="方正仿宋_GBK"/>
          <w:sz w:val="32"/>
          <w:szCs w:val="32"/>
        </w:rPr>
        <w:t>0</w:t>
      </w:r>
      <w:r>
        <w:rPr>
          <w:rFonts w:hint="eastAsia" w:eastAsia="方正仿宋_GBK" w:cs="方正仿宋_GBK"/>
          <w:kern w:val="0"/>
          <w:sz w:val="32"/>
          <w:szCs w:val="32"/>
        </w:rPr>
        <w:t>人，退休</w:t>
      </w:r>
      <w:r>
        <w:rPr>
          <w:rFonts w:hint="eastAsia" w:eastAsia="方正仿宋_GBK" w:cs="方正仿宋_GBK"/>
          <w:sz w:val="32"/>
          <w:szCs w:val="32"/>
        </w:rPr>
        <w:t>0</w:t>
      </w:r>
      <w:r>
        <w:rPr>
          <w:rFonts w:hint="eastAsia" w:eastAsia="方正仿宋_GBK" w:cs="方正仿宋_GBK"/>
          <w:kern w:val="0"/>
          <w:sz w:val="32"/>
          <w:szCs w:val="32"/>
        </w:rPr>
        <w:t>人）；由养老保险基金发放养老金的离退休人员36人（离休</w:t>
      </w:r>
      <w:r>
        <w:rPr>
          <w:rFonts w:hint="eastAsia" w:eastAsia="方正仿宋_GBK" w:cs="方正仿宋_GBK"/>
          <w:sz w:val="32"/>
          <w:szCs w:val="32"/>
        </w:rPr>
        <w:t>0</w:t>
      </w:r>
      <w:r>
        <w:rPr>
          <w:rFonts w:hint="eastAsia" w:eastAsia="方正仿宋_GBK" w:cs="方正仿宋_GBK"/>
          <w:kern w:val="0"/>
          <w:sz w:val="32"/>
          <w:szCs w:val="32"/>
        </w:rPr>
        <w:t>人，退休</w:t>
      </w:r>
      <w:r>
        <w:rPr>
          <w:rFonts w:hint="eastAsia" w:eastAsia="方正仿宋_GBK" w:cs="方正仿宋_GBK"/>
          <w:sz w:val="32"/>
          <w:szCs w:val="32"/>
        </w:rPr>
        <w:t>0</w:t>
      </w:r>
      <w:r>
        <w:rPr>
          <w:rFonts w:hint="eastAsia" w:eastAsia="方正仿宋_GBK" w:cs="方正仿宋_GBK"/>
          <w:kern w:val="0"/>
          <w:sz w:val="32"/>
          <w:szCs w:val="32"/>
        </w:rPr>
        <w:t>人）。</w:t>
      </w:r>
    </w:p>
    <w:p>
      <w:pPr>
        <w:kinsoku w:val="0"/>
        <w:overflowPunct w:val="0"/>
        <w:autoSpaceDE w:val="0"/>
        <w:autoSpaceDN w:val="0"/>
        <w:spacing w:line="560" w:lineRule="exact"/>
        <w:ind w:firstLine="640" w:firstLineChars="200"/>
        <w:rPr>
          <w:rFonts w:eastAsia="方正仿宋_GBK" w:cs="方正仿宋_GBK"/>
          <w:kern w:val="0"/>
          <w:sz w:val="32"/>
          <w:szCs w:val="32"/>
        </w:rPr>
      </w:pPr>
      <w:r>
        <w:rPr>
          <w:rFonts w:hint="eastAsia" w:eastAsia="方正仿宋_GBK" w:cs="方正仿宋_GBK"/>
          <w:kern w:val="0"/>
          <w:sz w:val="32"/>
          <w:szCs w:val="32"/>
        </w:rPr>
        <w:t>实有车辆编制</w:t>
      </w:r>
      <w:r>
        <w:rPr>
          <w:rFonts w:hint="eastAsia" w:eastAsia="方正仿宋_GBK" w:cs="方正仿宋_GBK"/>
          <w:sz w:val="32"/>
          <w:szCs w:val="32"/>
        </w:rPr>
        <w:t>11</w:t>
      </w:r>
      <w:r>
        <w:rPr>
          <w:rFonts w:hint="eastAsia" w:eastAsia="方正仿宋_GBK" w:cs="方正仿宋_GBK"/>
          <w:kern w:val="0"/>
          <w:sz w:val="32"/>
          <w:szCs w:val="32"/>
        </w:rPr>
        <w:t>辆，在编实有车辆11辆。</w:t>
      </w:r>
    </w:p>
    <w:p>
      <w:pPr>
        <w:pStyle w:val="5"/>
        <w:widowControl/>
        <w:kinsoku w:val="0"/>
        <w:overflowPunct w:val="0"/>
        <w:autoSpaceDE w:val="0"/>
        <w:autoSpaceDN w:val="0"/>
        <w:spacing w:before="50" w:beforeAutospacing="0" w:after="50" w:afterAutospacing="0" w:line="560" w:lineRule="exact"/>
        <w:jc w:val="center"/>
        <w:rPr>
          <w:rFonts w:eastAsia="方正小标宋_GBK" w:cs="方正小标宋_GBK"/>
          <w:sz w:val="44"/>
          <w:szCs w:val="44"/>
        </w:rPr>
      </w:pPr>
      <w:r>
        <w:rPr>
          <w:rFonts w:hint="eastAsia" w:eastAsia="方正黑体_GBK" w:cs="方正黑体_GBK"/>
          <w:kern w:val="2"/>
          <w:sz w:val="32"/>
          <w:szCs w:val="32"/>
        </w:rPr>
        <w:t>第二部分  2022年度部门决算表</w:t>
      </w:r>
    </w:p>
    <w:p>
      <w:pPr>
        <w:kinsoku w:val="0"/>
        <w:overflowPunct w:val="0"/>
        <w:autoSpaceDE w:val="0"/>
        <w:autoSpaceDN w:val="0"/>
        <w:spacing w:line="560" w:lineRule="exact"/>
        <w:ind w:firstLine="640" w:firstLineChars="200"/>
        <w:jc w:val="center"/>
        <w:rPr>
          <w:rFonts w:eastAsia="方正仿宋_GBK" w:cs="方正仿宋_GBK"/>
          <w:sz w:val="32"/>
          <w:szCs w:val="32"/>
        </w:rPr>
      </w:pPr>
      <w:r>
        <w:rPr>
          <w:rFonts w:hint="eastAsia" w:eastAsia="方正仿宋_GBK" w:cs="方正仿宋_GBK"/>
          <w:sz w:val="32"/>
          <w:szCs w:val="32"/>
        </w:rPr>
        <w:t>（详见附件）</w:t>
      </w:r>
    </w:p>
    <w:p>
      <w:pPr>
        <w:kinsoku w:val="0"/>
        <w:overflowPunct w:val="0"/>
        <w:autoSpaceDE w:val="0"/>
        <w:autoSpaceDN w:val="0"/>
        <w:spacing w:line="560" w:lineRule="exact"/>
        <w:ind w:firstLine="640" w:firstLineChars="200"/>
        <w:jc w:val="left"/>
        <w:rPr>
          <w:rFonts w:eastAsia="方正仿宋_GBK" w:cs="方正仿宋_GBK"/>
          <w:sz w:val="32"/>
          <w:szCs w:val="32"/>
        </w:rPr>
      </w:pPr>
      <w:r>
        <w:rPr>
          <w:rFonts w:hint="eastAsia" w:eastAsia="方正仿宋_GBK" w:cs="方正仿宋_GBK"/>
          <w:sz w:val="32"/>
          <w:szCs w:val="32"/>
        </w:rPr>
        <w:t>本部门2022年度无国有资本经营预算财政拨款收入，《国有资本经营预算财政拨款收入支出决算表》为空表。</w:t>
      </w:r>
    </w:p>
    <w:p>
      <w:pPr>
        <w:pStyle w:val="5"/>
        <w:widowControl/>
        <w:kinsoku w:val="0"/>
        <w:overflowPunct w:val="0"/>
        <w:autoSpaceDE w:val="0"/>
        <w:autoSpaceDN w:val="0"/>
        <w:spacing w:before="50" w:beforeAutospacing="0" w:after="50" w:afterAutospacing="0" w:line="560" w:lineRule="exact"/>
        <w:jc w:val="center"/>
        <w:rPr>
          <w:rFonts w:eastAsia="方正黑体_GBK" w:cs="方正黑体_GBK"/>
          <w:kern w:val="2"/>
          <w:sz w:val="32"/>
          <w:szCs w:val="32"/>
        </w:rPr>
      </w:pPr>
      <w:r>
        <w:rPr>
          <w:rFonts w:hint="eastAsia" w:eastAsia="方正黑体_GBK" w:cs="方正黑体_GBK"/>
          <w:kern w:val="2"/>
          <w:sz w:val="32"/>
          <w:szCs w:val="32"/>
        </w:rPr>
        <w:t>第三部分  2022年度部门决算情况说明</w:t>
      </w:r>
    </w:p>
    <w:p>
      <w:pPr>
        <w:kinsoku w:val="0"/>
        <w:overflowPunct w:val="0"/>
        <w:autoSpaceDE w:val="0"/>
        <w:autoSpaceDN w:val="0"/>
        <w:spacing w:line="560" w:lineRule="exact"/>
        <w:ind w:firstLine="640" w:firstLineChars="200"/>
        <w:jc w:val="left"/>
        <w:rPr>
          <w:rFonts w:eastAsia="方正黑体_GBK" w:cs="方正黑体_GBK"/>
          <w:sz w:val="32"/>
          <w:szCs w:val="32"/>
        </w:rPr>
      </w:pPr>
      <w:r>
        <w:rPr>
          <w:rFonts w:hint="eastAsia" w:eastAsia="方正黑体_GBK" w:cs="方正黑体_GBK"/>
          <w:sz w:val="32"/>
          <w:szCs w:val="32"/>
        </w:rPr>
        <w:t>一、收入决算情况说明</w:t>
      </w:r>
    </w:p>
    <w:p>
      <w:pPr>
        <w:widowControl/>
        <w:kinsoku w:val="0"/>
        <w:overflowPunct w:val="0"/>
        <w:autoSpaceDE w:val="0"/>
        <w:autoSpaceDN w:val="0"/>
        <w:snapToGrid w:val="0"/>
        <w:spacing w:before="100" w:after="100" w:line="560" w:lineRule="exact"/>
        <w:ind w:firstLine="539"/>
        <w:rPr>
          <w:rFonts w:eastAsia="方正仿宋_GBK" w:cs="方正仿宋_GBK"/>
          <w:kern w:val="0"/>
          <w:sz w:val="32"/>
          <w:szCs w:val="32"/>
        </w:rPr>
      </w:pPr>
      <w:r>
        <w:rPr>
          <w:rFonts w:hint="eastAsia" w:eastAsia="方正仿宋_GBK" w:cs="方正仿宋_GBK"/>
          <w:sz w:val="32"/>
          <w:szCs w:val="32"/>
        </w:rPr>
        <w:t>新平彝族傣族自治县城市管理局2022年度收入合计45,109,301.74元。其中：财政拨款收入45,109,301.74元，占总收入的100</w:t>
      </w:r>
      <w:r>
        <w:rPr>
          <w:rFonts w:hint="eastAsia" w:eastAsia="方正仿宋_GBK" w:cs="方正仿宋_GBK"/>
          <w:sz w:val="32"/>
          <w:szCs w:val="32"/>
          <w:lang w:val="en-US" w:eastAsia="zh-CN"/>
        </w:rPr>
        <w:t>.00</w:t>
      </w:r>
      <w:r>
        <w:rPr>
          <w:rFonts w:hint="eastAsia" w:eastAsia="方正仿宋_GBK" w:cs="方正仿宋_GBK"/>
          <w:sz w:val="32"/>
          <w:szCs w:val="32"/>
        </w:rPr>
        <w:t>%；上级补助收入0.00元，占总收入的0.00%；事业收入0.00元（含教育收费0.00元），占总收入的0.00%；经营收入0.00元，占总收入的0.00%；附属单位上缴收入0.00元，占总收入的0.00%；其他收入0.00元，占总收入的0.00%。与上年相比，收入合计增加10,349,957.73元，增长29.78%。其中：财政拨款收入增加10,349,957.73元，增长29.78%；上级补助收入增加0.00元，增长0.00%；事业收入增加0.00元，增长0.00%；经营收入增加0.00元，增长0.00%；附属单位上缴收入增加0.00元，增长0.00%；其他收入增加0.00元，增长0.00%。主要原因是新平县城市垃圾分类及环卫园林绿化管理市场化服务项目经费比上年增加了8,250,917.76元。</w:t>
      </w:r>
    </w:p>
    <w:p>
      <w:pPr>
        <w:kinsoku w:val="0"/>
        <w:overflowPunct w:val="0"/>
        <w:autoSpaceDE w:val="0"/>
        <w:autoSpaceDN w:val="0"/>
        <w:spacing w:line="560" w:lineRule="exact"/>
        <w:ind w:firstLine="640" w:firstLineChars="200"/>
        <w:jc w:val="left"/>
        <w:rPr>
          <w:rFonts w:eastAsia="方正黑体_GBK" w:cs="方正黑体_GBK"/>
          <w:sz w:val="32"/>
          <w:szCs w:val="32"/>
        </w:rPr>
      </w:pPr>
      <w:r>
        <w:rPr>
          <w:rFonts w:hint="eastAsia" w:eastAsia="方正黑体_GBK" w:cs="方正黑体_GBK"/>
          <w:sz w:val="32"/>
          <w:szCs w:val="32"/>
        </w:rPr>
        <w:t>二、支出决算情况说明</w:t>
      </w:r>
    </w:p>
    <w:p>
      <w:pPr>
        <w:widowControl/>
        <w:kinsoku w:val="0"/>
        <w:overflowPunct w:val="0"/>
        <w:autoSpaceDE w:val="0"/>
        <w:autoSpaceDN w:val="0"/>
        <w:snapToGrid w:val="0"/>
        <w:spacing w:before="100" w:after="100" w:line="560" w:lineRule="exact"/>
        <w:ind w:firstLine="539"/>
        <w:rPr>
          <w:rFonts w:eastAsia="方正仿宋_GBK" w:cs="方正仿宋_GBK"/>
          <w:sz w:val="32"/>
          <w:szCs w:val="32"/>
        </w:rPr>
      </w:pPr>
      <w:r>
        <w:rPr>
          <w:rFonts w:hint="eastAsia" w:eastAsia="方正仿宋_GBK" w:cs="方正仿宋_GBK"/>
          <w:sz w:val="32"/>
          <w:szCs w:val="32"/>
        </w:rPr>
        <w:t>新平彝族傣族自治县城市管理局2022年度支出合计45,109,301.74元。其中：</w:t>
      </w:r>
      <w:r>
        <w:rPr>
          <w:rFonts w:hint="eastAsia" w:eastAsia="方正仿宋_GBK" w:cs="方正仿宋_GBK"/>
          <w:kern w:val="0"/>
          <w:sz w:val="32"/>
          <w:szCs w:val="32"/>
        </w:rPr>
        <w:t>基本支出</w:t>
      </w:r>
      <w:r>
        <w:rPr>
          <w:rFonts w:hint="eastAsia" w:eastAsia="方正仿宋_GBK" w:cs="方正仿宋_GBK"/>
          <w:sz w:val="32"/>
          <w:szCs w:val="32"/>
        </w:rPr>
        <w:t>14,209,185.93</w:t>
      </w:r>
      <w:r>
        <w:rPr>
          <w:rFonts w:hint="eastAsia" w:eastAsia="方正仿宋_GBK" w:cs="方正仿宋_GBK"/>
          <w:kern w:val="0"/>
          <w:sz w:val="32"/>
          <w:szCs w:val="32"/>
        </w:rPr>
        <w:t>元，占总支出的</w:t>
      </w:r>
      <w:r>
        <w:rPr>
          <w:rFonts w:hint="eastAsia" w:eastAsia="方正仿宋_GBK" w:cs="方正仿宋_GBK"/>
          <w:sz w:val="32"/>
          <w:szCs w:val="32"/>
        </w:rPr>
        <w:t>31.50</w:t>
      </w:r>
      <w:r>
        <w:rPr>
          <w:rFonts w:hint="eastAsia" w:eastAsia="方正仿宋_GBK" w:cs="方正仿宋_GBK"/>
          <w:kern w:val="0"/>
          <w:sz w:val="32"/>
          <w:szCs w:val="32"/>
        </w:rPr>
        <w:t>％；项目支出</w:t>
      </w:r>
      <w:r>
        <w:rPr>
          <w:rFonts w:hint="eastAsia" w:eastAsia="方正仿宋_GBK" w:cs="方正仿宋_GBK"/>
          <w:sz w:val="32"/>
          <w:szCs w:val="32"/>
        </w:rPr>
        <w:t>30,900,115.81</w:t>
      </w:r>
      <w:r>
        <w:rPr>
          <w:rFonts w:hint="eastAsia" w:eastAsia="方正仿宋_GBK" w:cs="方正仿宋_GBK"/>
          <w:kern w:val="0"/>
          <w:sz w:val="32"/>
          <w:szCs w:val="32"/>
        </w:rPr>
        <w:t>元，占总支出的</w:t>
      </w:r>
      <w:r>
        <w:rPr>
          <w:rFonts w:hint="eastAsia" w:eastAsia="方正仿宋_GBK" w:cs="方正仿宋_GBK"/>
          <w:sz w:val="32"/>
          <w:szCs w:val="32"/>
        </w:rPr>
        <w:t>68.50</w:t>
      </w:r>
      <w:r>
        <w:rPr>
          <w:rFonts w:hint="eastAsia" w:eastAsia="方正仿宋_GBK" w:cs="方正仿宋_GBK"/>
          <w:kern w:val="0"/>
          <w:sz w:val="32"/>
          <w:szCs w:val="32"/>
        </w:rPr>
        <w:t>％；上缴上级支出</w:t>
      </w:r>
      <w:r>
        <w:rPr>
          <w:rFonts w:hint="eastAsia" w:eastAsia="方正仿宋_GBK" w:cs="方正仿宋_GBK"/>
          <w:sz w:val="32"/>
          <w:szCs w:val="32"/>
        </w:rPr>
        <w:t>0.00</w:t>
      </w:r>
      <w:r>
        <w:rPr>
          <w:rFonts w:hint="eastAsia" w:eastAsia="方正仿宋_GBK" w:cs="方正仿宋_GBK"/>
          <w:kern w:val="0"/>
          <w:sz w:val="32"/>
          <w:szCs w:val="32"/>
        </w:rPr>
        <w:t>元，占总支出的</w:t>
      </w:r>
      <w:r>
        <w:rPr>
          <w:rFonts w:hint="eastAsia" w:eastAsia="方正仿宋_GBK" w:cs="方正仿宋_GBK"/>
          <w:sz w:val="32"/>
          <w:szCs w:val="32"/>
        </w:rPr>
        <w:t>0.00</w:t>
      </w:r>
      <w:r>
        <w:rPr>
          <w:rFonts w:hint="eastAsia" w:eastAsia="方正仿宋_GBK" w:cs="方正仿宋_GBK"/>
          <w:kern w:val="0"/>
          <w:sz w:val="32"/>
          <w:szCs w:val="32"/>
        </w:rPr>
        <w:t>％；经营支出</w:t>
      </w:r>
      <w:r>
        <w:rPr>
          <w:rFonts w:hint="eastAsia" w:eastAsia="方正仿宋_GBK" w:cs="方正仿宋_GBK"/>
          <w:sz w:val="32"/>
          <w:szCs w:val="32"/>
        </w:rPr>
        <w:t>0.00</w:t>
      </w:r>
      <w:r>
        <w:rPr>
          <w:rFonts w:hint="eastAsia" w:eastAsia="方正仿宋_GBK" w:cs="方正仿宋_GBK"/>
          <w:kern w:val="0"/>
          <w:sz w:val="32"/>
          <w:szCs w:val="32"/>
        </w:rPr>
        <w:t>元，占总支出的</w:t>
      </w:r>
      <w:r>
        <w:rPr>
          <w:rFonts w:hint="eastAsia" w:eastAsia="方正仿宋_GBK" w:cs="方正仿宋_GBK"/>
          <w:sz w:val="32"/>
          <w:szCs w:val="32"/>
        </w:rPr>
        <w:t>0.00</w:t>
      </w:r>
      <w:r>
        <w:rPr>
          <w:rFonts w:hint="eastAsia" w:eastAsia="方正仿宋_GBK" w:cs="方正仿宋_GBK"/>
          <w:kern w:val="0"/>
          <w:sz w:val="32"/>
          <w:szCs w:val="32"/>
        </w:rPr>
        <w:t>％；对附属单位补助支出</w:t>
      </w:r>
      <w:r>
        <w:rPr>
          <w:rFonts w:hint="eastAsia" w:eastAsia="方正仿宋_GBK" w:cs="方正仿宋_GBK"/>
          <w:sz w:val="32"/>
          <w:szCs w:val="32"/>
        </w:rPr>
        <w:t>0.00</w:t>
      </w:r>
      <w:r>
        <w:rPr>
          <w:rFonts w:hint="eastAsia" w:eastAsia="方正仿宋_GBK" w:cs="方正仿宋_GBK"/>
          <w:kern w:val="0"/>
          <w:sz w:val="32"/>
          <w:szCs w:val="32"/>
        </w:rPr>
        <w:t>元，占总支出的</w:t>
      </w:r>
      <w:r>
        <w:rPr>
          <w:rFonts w:hint="eastAsia" w:eastAsia="方正仿宋_GBK" w:cs="方正仿宋_GBK"/>
          <w:sz w:val="32"/>
          <w:szCs w:val="32"/>
        </w:rPr>
        <w:t>0.00</w:t>
      </w:r>
      <w:r>
        <w:rPr>
          <w:rFonts w:hint="eastAsia" w:eastAsia="方正仿宋_GBK" w:cs="方正仿宋_GBK"/>
          <w:kern w:val="0"/>
          <w:sz w:val="32"/>
          <w:szCs w:val="32"/>
        </w:rPr>
        <w:t>％。</w:t>
      </w:r>
      <w:r>
        <w:rPr>
          <w:rFonts w:hint="eastAsia" w:eastAsia="方正仿宋_GBK" w:cs="方正仿宋_GBK"/>
          <w:sz w:val="32"/>
          <w:szCs w:val="32"/>
        </w:rPr>
        <w:t>与上年相比，支出合计增加10,349,957.73元，增长29.78%。其中：</w:t>
      </w:r>
      <w:r>
        <w:rPr>
          <w:rFonts w:hint="eastAsia" w:eastAsia="方正仿宋_GBK" w:cs="方正仿宋_GBK"/>
          <w:kern w:val="0"/>
          <w:sz w:val="32"/>
          <w:szCs w:val="32"/>
        </w:rPr>
        <w:t>基本支出</w:t>
      </w:r>
      <w:r>
        <w:rPr>
          <w:rFonts w:hint="eastAsia" w:eastAsia="方正仿宋_GBK" w:cs="方正仿宋_GBK"/>
          <w:sz w:val="32"/>
          <w:szCs w:val="32"/>
        </w:rPr>
        <w:t>增加374,057.93元，增长2.70%；项目支出增加9,975,899.80元，增长47.68%；上缴上级支出增加0.00元，增长0.00%；经营支出增加0.00元，增长0.00%；对附属单位补助支出增加0.00元，增长0.00%。主要原因是新平县城市垃圾分类及环卫园林绿化管理市场化服务项目经费比上年增加了8,250,917.76元。</w:t>
      </w:r>
    </w:p>
    <w:p>
      <w:pPr>
        <w:kinsoku w:val="0"/>
        <w:overflowPunct w:val="0"/>
        <w:autoSpaceDE w:val="0"/>
        <w:autoSpaceDN w:val="0"/>
        <w:spacing w:line="560" w:lineRule="exact"/>
        <w:ind w:firstLine="640" w:firstLineChars="200"/>
        <w:jc w:val="left"/>
        <w:rPr>
          <w:rFonts w:eastAsia="方正楷体_GBK" w:cs="方正楷体_GBK"/>
          <w:bCs/>
          <w:sz w:val="32"/>
          <w:szCs w:val="32"/>
        </w:rPr>
      </w:pPr>
      <w:r>
        <w:rPr>
          <w:rFonts w:hint="eastAsia" w:eastAsia="方正楷体_GBK" w:cs="方正楷体_GBK"/>
          <w:bCs/>
          <w:sz w:val="32"/>
          <w:szCs w:val="32"/>
        </w:rPr>
        <w:t>（一）基本支出情况</w:t>
      </w:r>
    </w:p>
    <w:p>
      <w:pPr>
        <w:widowControl/>
        <w:kinsoku w:val="0"/>
        <w:overflowPunct w:val="0"/>
        <w:autoSpaceDE w:val="0"/>
        <w:autoSpaceDN w:val="0"/>
        <w:snapToGrid w:val="0"/>
        <w:spacing w:before="100" w:after="100" w:line="560" w:lineRule="exact"/>
        <w:ind w:firstLine="538"/>
        <w:rPr>
          <w:rFonts w:eastAsia="方正仿宋_GBK" w:cs="方正仿宋_GBK"/>
          <w:sz w:val="32"/>
          <w:szCs w:val="32"/>
        </w:rPr>
      </w:pPr>
      <w:r>
        <w:rPr>
          <w:rFonts w:hint="eastAsia" w:eastAsia="方正仿宋_GBK" w:cs="方正仿宋_GBK"/>
          <w:sz w:val="32"/>
          <w:szCs w:val="32"/>
        </w:rPr>
        <w:t>2022年度用于保障新平彝族傣族自治县城市管理局机关、下属事业单位等机构正常运转的日常支出14,209,185.93元。其中：基本工资、津贴补贴等人员经费支出12,488,609.44元，占基本支出的87.89％；办公费、印刷费、水电费、办公设备购置等公用经费1,720,576.49元，占基本支出的12.11％。</w:t>
      </w:r>
    </w:p>
    <w:p>
      <w:pPr>
        <w:kinsoku w:val="0"/>
        <w:overflowPunct w:val="0"/>
        <w:autoSpaceDE w:val="0"/>
        <w:autoSpaceDN w:val="0"/>
        <w:spacing w:line="560" w:lineRule="exact"/>
        <w:ind w:firstLine="640" w:firstLineChars="200"/>
        <w:jc w:val="left"/>
        <w:rPr>
          <w:rFonts w:eastAsia="方正楷体_GBK" w:cs="方正楷体_GBK"/>
          <w:bCs/>
          <w:sz w:val="32"/>
          <w:szCs w:val="32"/>
        </w:rPr>
      </w:pPr>
      <w:r>
        <w:rPr>
          <w:rFonts w:hint="eastAsia" w:eastAsia="方正楷体_GBK" w:cs="方正楷体_GBK"/>
          <w:bCs/>
          <w:sz w:val="32"/>
          <w:szCs w:val="32"/>
        </w:rPr>
        <w:t>（二）项目支出情况</w:t>
      </w:r>
    </w:p>
    <w:p>
      <w:pPr>
        <w:widowControl/>
        <w:kinsoku w:val="0"/>
        <w:overflowPunct w:val="0"/>
        <w:autoSpaceDE w:val="0"/>
        <w:autoSpaceDN w:val="0"/>
        <w:snapToGrid w:val="0"/>
        <w:spacing w:before="100" w:after="100" w:line="560" w:lineRule="exact"/>
        <w:ind w:firstLine="640" w:firstLineChars="200"/>
        <w:rPr>
          <w:rFonts w:eastAsia="方正仿宋_GBK" w:cs="方正仿宋_GBK"/>
          <w:sz w:val="32"/>
          <w:szCs w:val="32"/>
        </w:rPr>
      </w:pPr>
      <w:r>
        <w:rPr>
          <w:rFonts w:hint="eastAsia" w:eastAsia="方正仿宋_GBK" w:cs="方正仿宋_GBK"/>
          <w:sz w:val="32"/>
          <w:szCs w:val="32"/>
        </w:rPr>
        <w:t>2022年度用于保障新平彝族傣族自治县城市管理局机构、下属事业单位等机构为完成特定的行政工作任务或事业发展目标，用于专项业务工作的经费支出30,900,115.81元。其中：基本建设类项目支出0.00元。用于专项业务工作的经费支出中一是一般公共预算财政拨款项目经费支出26,741,114.53元,其中：办公费33,852元，水费12,177.40元，电费1,773,220.14，差旅费1,788.00元，维修（维护）费2,149,099.23元，租赁费2,000.00元，委托业务费22,746,117.76元，其他商品和服务支出22,860.00元；二是政府性基金预算财政拨款项目经费支出4,159,001.28元,用于新平县污水处理服务委托业务费。</w:t>
      </w:r>
    </w:p>
    <w:p>
      <w:pPr>
        <w:kinsoku w:val="0"/>
        <w:overflowPunct w:val="0"/>
        <w:autoSpaceDE w:val="0"/>
        <w:autoSpaceDN w:val="0"/>
        <w:spacing w:line="560" w:lineRule="exact"/>
        <w:ind w:firstLine="640" w:firstLineChars="200"/>
        <w:jc w:val="left"/>
        <w:rPr>
          <w:rFonts w:eastAsia="方正黑体_GBK" w:cs="方正黑体_GBK"/>
          <w:sz w:val="32"/>
          <w:szCs w:val="32"/>
        </w:rPr>
      </w:pPr>
      <w:r>
        <w:rPr>
          <w:rFonts w:hint="eastAsia" w:eastAsia="方正黑体_GBK" w:cs="方正黑体_GBK"/>
          <w:sz w:val="32"/>
          <w:szCs w:val="32"/>
        </w:rPr>
        <w:t>三、一般公共预算财政拨款支出决算情况说明</w:t>
      </w:r>
    </w:p>
    <w:p>
      <w:pPr>
        <w:kinsoku w:val="0"/>
        <w:overflowPunct w:val="0"/>
        <w:autoSpaceDE w:val="0"/>
        <w:autoSpaceDN w:val="0"/>
        <w:spacing w:line="560" w:lineRule="exact"/>
        <w:ind w:firstLine="640" w:firstLineChars="200"/>
        <w:jc w:val="left"/>
        <w:rPr>
          <w:rFonts w:eastAsia="方正楷体_GBK" w:cs="方正楷体_GBK"/>
          <w:bCs/>
          <w:sz w:val="32"/>
          <w:szCs w:val="32"/>
        </w:rPr>
      </w:pPr>
      <w:r>
        <w:rPr>
          <w:rFonts w:hint="eastAsia" w:eastAsia="方正楷体_GBK" w:cs="方正楷体_GBK"/>
          <w:bCs/>
          <w:sz w:val="32"/>
          <w:szCs w:val="32"/>
        </w:rPr>
        <w:t>（一）一般公共预算财政拨款支出决算总体情况</w:t>
      </w:r>
    </w:p>
    <w:p>
      <w:pPr>
        <w:widowControl/>
        <w:kinsoku w:val="0"/>
        <w:overflowPunct w:val="0"/>
        <w:autoSpaceDE w:val="0"/>
        <w:autoSpaceDN w:val="0"/>
        <w:snapToGrid w:val="0"/>
        <w:spacing w:before="100" w:after="100" w:line="560" w:lineRule="exact"/>
        <w:ind w:firstLine="640" w:firstLineChars="200"/>
        <w:rPr>
          <w:rFonts w:eastAsia="方正仿宋_GBK" w:cs="方正仿宋_GBK"/>
          <w:kern w:val="0"/>
          <w:sz w:val="32"/>
          <w:szCs w:val="32"/>
        </w:rPr>
      </w:pPr>
      <w:r>
        <w:rPr>
          <w:rFonts w:hint="eastAsia" w:eastAsia="方正仿宋_GBK" w:cs="方正仿宋_GBK"/>
          <w:sz w:val="32"/>
          <w:szCs w:val="32"/>
        </w:rPr>
        <w:t>新平彝族傣族自治县城市管理局2022年度一般公共预算财政拨款支出</w:t>
      </w:r>
      <w:r>
        <w:rPr>
          <w:rFonts w:hint="eastAsia" w:eastAsia="方正仿宋_GBK" w:cs="方正仿宋_GBK"/>
          <w:kern w:val="0"/>
          <w:sz w:val="32"/>
          <w:szCs w:val="32"/>
        </w:rPr>
        <w:t>40,950,300.46元,占本年支出合计的</w:t>
      </w:r>
      <w:r>
        <w:rPr>
          <w:rFonts w:hint="eastAsia" w:eastAsia="方正仿宋_GBK" w:cs="方正仿宋_GBK"/>
          <w:sz w:val="32"/>
          <w:szCs w:val="32"/>
        </w:rPr>
        <w:t>90.78</w:t>
      </w:r>
      <w:r>
        <w:rPr>
          <w:rFonts w:hint="eastAsia" w:eastAsia="方正仿宋_GBK" w:cs="方正仿宋_GBK"/>
          <w:kern w:val="0"/>
          <w:sz w:val="32"/>
          <w:szCs w:val="32"/>
        </w:rPr>
        <w:t>%。与上年相比增加10,039,881.45元，增长32.48%</w:t>
      </w:r>
      <w:r>
        <w:rPr>
          <w:rFonts w:hint="eastAsia" w:eastAsia="方正仿宋_GBK" w:cs="方正仿宋_GBK"/>
          <w:sz w:val="32"/>
          <w:szCs w:val="32"/>
        </w:rPr>
        <w:t>，主要</w:t>
      </w:r>
      <w:r>
        <w:rPr>
          <w:rFonts w:hint="eastAsia" w:eastAsia="方正仿宋_GBK" w:cs="方正仿宋_GBK"/>
          <w:kern w:val="0"/>
          <w:sz w:val="32"/>
          <w:szCs w:val="32"/>
        </w:rPr>
        <w:t>增加原因为新平县城市生活垃圾分类及环卫园林绿化管理市场化服务项目经费增加8,250,917.76元。</w:t>
      </w:r>
    </w:p>
    <w:p>
      <w:pPr>
        <w:widowControl/>
        <w:kinsoku w:val="0"/>
        <w:overflowPunct w:val="0"/>
        <w:autoSpaceDE w:val="0"/>
        <w:autoSpaceDN w:val="0"/>
        <w:snapToGrid w:val="0"/>
        <w:spacing w:before="100" w:after="100" w:line="560" w:lineRule="exact"/>
        <w:ind w:firstLine="640" w:firstLineChars="200"/>
        <w:jc w:val="left"/>
        <w:rPr>
          <w:rFonts w:eastAsia="方正仿宋_GBK" w:cs="方正仿宋_GBK"/>
          <w:sz w:val="32"/>
          <w:szCs w:val="32"/>
        </w:rPr>
      </w:pPr>
      <w:r>
        <w:rPr>
          <w:rFonts w:hint="eastAsia" w:eastAsia="方正楷体_GBK" w:cs="方正楷体_GBK"/>
          <w:bCs/>
          <w:sz w:val="32"/>
          <w:szCs w:val="32"/>
        </w:rPr>
        <w:t>（二）一般公共预算财政拨款支出决算具体情况</w:t>
      </w:r>
      <w:r>
        <w:rPr>
          <w:rFonts w:hint="eastAsia" w:eastAsia="方正仿宋_GBK" w:cs="方正仿宋_GBK"/>
          <w:sz w:val="32"/>
          <w:szCs w:val="32"/>
        </w:rPr>
        <w:tab/>
      </w:r>
      <w:r>
        <w:rPr>
          <w:rFonts w:hint="eastAsia" w:eastAsia="方正仿宋_GBK" w:cs="方正仿宋_GBK"/>
          <w:sz w:val="32"/>
          <w:szCs w:val="32"/>
        </w:rPr>
        <w:tab/>
      </w:r>
      <w:r>
        <w:rPr>
          <w:rFonts w:hint="eastAsia" w:eastAsia="方正仿宋_GBK" w:cs="方正仿宋_GBK"/>
          <w:sz w:val="32"/>
          <w:szCs w:val="32"/>
        </w:rPr>
        <w:tab/>
      </w:r>
    </w:p>
    <w:p>
      <w:pPr>
        <w:widowControl/>
        <w:kinsoku w:val="0"/>
        <w:overflowPunct w:val="0"/>
        <w:autoSpaceDE w:val="0"/>
        <w:autoSpaceDN w:val="0"/>
        <w:snapToGrid w:val="0"/>
        <w:spacing w:before="100" w:after="100" w:line="560" w:lineRule="exact"/>
        <w:ind w:firstLine="640" w:firstLineChars="200"/>
        <w:rPr>
          <w:rFonts w:eastAsia="方正仿宋_GBK" w:cs="方正仿宋_GBK"/>
          <w:kern w:val="0"/>
          <w:sz w:val="32"/>
          <w:szCs w:val="32"/>
        </w:rPr>
      </w:pPr>
      <w:r>
        <w:rPr>
          <w:rFonts w:hint="eastAsia" w:eastAsia="方正仿宋_GBK" w:cs="方正仿宋_GBK"/>
          <w:kern w:val="0"/>
          <w:sz w:val="32"/>
          <w:szCs w:val="32"/>
        </w:rPr>
        <w:t>1.一般公共服务支出5,000.00元，</w:t>
      </w:r>
      <w:r>
        <w:rPr>
          <w:rFonts w:hint="eastAsia" w:eastAsia="方正仿宋_GBK" w:cs="方正仿宋_GBK"/>
          <w:sz w:val="32"/>
          <w:szCs w:val="32"/>
        </w:rPr>
        <w:t>占一般公共预算财政拨款总支出的0.01%。</w:t>
      </w:r>
      <w:r>
        <w:rPr>
          <w:rFonts w:hint="eastAsia" w:eastAsia="方正仿宋_GBK" w:cs="方正仿宋_GBK"/>
          <w:kern w:val="0"/>
          <w:sz w:val="32"/>
          <w:szCs w:val="32"/>
        </w:rPr>
        <w:t>主要用于</w:t>
      </w:r>
      <w:r>
        <w:rPr>
          <w:rFonts w:hint="eastAsia" w:eastAsia="方正仿宋_GBK" w:cs="方正仿宋_GBK"/>
          <w:sz w:val="32"/>
          <w:szCs w:val="32"/>
        </w:rPr>
        <w:t>党建工作经费支出</w:t>
      </w:r>
      <w:r>
        <w:rPr>
          <w:rFonts w:hint="eastAsia" w:eastAsia="方正仿宋_GBK" w:cs="方正仿宋_GBK"/>
          <w:kern w:val="0"/>
          <w:sz w:val="32"/>
          <w:szCs w:val="32"/>
        </w:rPr>
        <w:t>；</w:t>
      </w:r>
    </w:p>
    <w:p>
      <w:pPr>
        <w:widowControl/>
        <w:kinsoku w:val="0"/>
        <w:overflowPunct w:val="0"/>
        <w:autoSpaceDE w:val="0"/>
        <w:autoSpaceDN w:val="0"/>
        <w:snapToGrid w:val="0"/>
        <w:spacing w:before="100" w:after="100" w:line="560" w:lineRule="exact"/>
        <w:ind w:firstLine="640" w:firstLineChars="200"/>
        <w:rPr>
          <w:rFonts w:eastAsia="方正仿宋_GBK" w:cs="方正仿宋_GBK"/>
          <w:kern w:val="0"/>
          <w:sz w:val="32"/>
          <w:szCs w:val="32"/>
        </w:rPr>
      </w:pPr>
      <w:r>
        <w:rPr>
          <w:rFonts w:hint="eastAsia" w:eastAsia="方正仿宋_GBK" w:cs="方正仿宋_GBK"/>
          <w:kern w:val="0"/>
          <w:sz w:val="32"/>
          <w:szCs w:val="32"/>
        </w:rPr>
        <w:t>2.外交支出</w:t>
      </w:r>
      <w:r>
        <w:rPr>
          <w:rFonts w:hint="eastAsia" w:eastAsia="方正仿宋_GBK" w:cs="方正仿宋_GBK"/>
          <w:sz w:val="32"/>
          <w:szCs w:val="32"/>
        </w:rPr>
        <w:t>0.00</w:t>
      </w:r>
      <w:r>
        <w:rPr>
          <w:rFonts w:hint="eastAsia" w:eastAsia="方正仿宋_GBK" w:cs="方正仿宋_GBK"/>
          <w:kern w:val="0"/>
          <w:sz w:val="32"/>
          <w:szCs w:val="32"/>
        </w:rPr>
        <w:t>元，</w:t>
      </w:r>
      <w:r>
        <w:rPr>
          <w:rFonts w:hint="eastAsia" w:eastAsia="方正仿宋_GBK" w:cs="方正仿宋_GBK"/>
          <w:sz w:val="32"/>
          <w:szCs w:val="32"/>
        </w:rPr>
        <w:t>占一般公共预算财政拨款总支出的0.00%。</w:t>
      </w:r>
      <w:r>
        <w:rPr>
          <w:rFonts w:hint="eastAsia" w:eastAsia="方正仿宋_GBK" w:cs="方正仿宋_GBK"/>
          <w:kern w:val="0"/>
          <w:sz w:val="32"/>
          <w:szCs w:val="32"/>
        </w:rPr>
        <w:t>本单位无此项支出；</w:t>
      </w:r>
    </w:p>
    <w:p>
      <w:pPr>
        <w:widowControl/>
        <w:kinsoku w:val="0"/>
        <w:overflowPunct w:val="0"/>
        <w:autoSpaceDE w:val="0"/>
        <w:autoSpaceDN w:val="0"/>
        <w:snapToGrid w:val="0"/>
        <w:spacing w:before="100" w:after="100" w:line="560" w:lineRule="exact"/>
        <w:ind w:firstLine="640" w:firstLineChars="200"/>
        <w:rPr>
          <w:rFonts w:eastAsia="方正仿宋_GBK" w:cs="方正仿宋_GBK"/>
          <w:kern w:val="0"/>
          <w:sz w:val="32"/>
          <w:szCs w:val="32"/>
        </w:rPr>
      </w:pPr>
      <w:r>
        <w:rPr>
          <w:rFonts w:hint="eastAsia" w:eastAsia="方正仿宋_GBK" w:cs="方正仿宋_GBK"/>
          <w:kern w:val="0"/>
          <w:sz w:val="32"/>
          <w:szCs w:val="32"/>
        </w:rPr>
        <w:t>3.国防支出</w:t>
      </w:r>
      <w:r>
        <w:rPr>
          <w:rFonts w:hint="eastAsia" w:eastAsia="方正仿宋_GBK" w:cs="方正仿宋_GBK"/>
          <w:sz w:val="32"/>
          <w:szCs w:val="32"/>
        </w:rPr>
        <w:t>0.00</w:t>
      </w:r>
      <w:r>
        <w:rPr>
          <w:rFonts w:hint="eastAsia" w:eastAsia="方正仿宋_GBK" w:cs="方正仿宋_GBK"/>
          <w:kern w:val="0"/>
          <w:sz w:val="32"/>
          <w:szCs w:val="32"/>
        </w:rPr>
        <w:t>元，</w:t>
      </w:r>
      <w:r>
        <w:rPr>
          <w:rFonts w:hint="eastAsia" w:eastAsia="方正仿宋_GBK" w:cs="方正仿宋_GBK"/>
          <w:sz w:val="32"/>
          <w:szCs w:val="32"/>
        </w:rPr>
        <w:t>占一般公共预算财政拨款总支出的0.00%。</w:t>
      </w:r>
      <w:r>
        <w:rPr>
          <w:rFonts w:hint="eastAsia" w:eastAsia="方正仿宋_GBK" w:cs="方正仿宋_GBK"/>
          <w:kern w:val="0"/>
          <w:sz w:val="32"/>
          <w:szCs w:val="32"/>
        </w:rPr>
        <w:t>本单位无此项支出；</w:t>
      </w:r>
    </w:p>
    <w:p>
      <w:pPr>
        <w:widowControl/>
        <w:kinsoku w:val="0"/>
        <w:overflowPunct w:val="0"/>
        <w:autoSpaceDE w:val="0"/>
        <w:autoSpaceDN w:val="0"/>
        <w:snapToGrid w:val="0"/>
        <w:spacing w:before="100" w:after="100" w:line="560" w:lineRule="exact"/>
        <w:ind w:firstLine="640" w:firstLineChars="200"/>
        <w:rPr>
          <w:rFonts w:eastAsia="方正仿宋_GBK" w:cs="方正仿宋_GBK"/>
          <w:kern w:val="0"/>
          <w:sz w:val="32"/>
          <w:szCs w:val="32"/>
        </w:rPr>
      </w:pPr>
      <w:r>
        <w:rPr>
          <w:rFonts w:hint="eastAsia" w:eastAsia="方正仿宋_GBK" w:cs="方正仿宋_GBK"/>
          <w:kern w:val="0"/>
          <w:sz w:val="32"/>
          <w:szCs w:val="32"/>
        </w:rPr>
        <w:t>4.公共安全支出</w:t>
      </w:r>
      <w:r>
        <w:rPr>
          <w:rFonts w:hint="eastAsia" w:eastAsia="方正仿宋_GBK" w:cs="方正仿宋_GBK"/>
          <w:sz w:val="32"/>
          <w:szCs w:val="32"/>
        </w:rPr>
        <w:t>0.00</w:t>
      </w:r>
      <w:r>
        <w:rPr>
          <w:rFonts w:hint="eastAsia" w:eastAsia="方正仿宋_GBK" w:cs="方正仿宋_GBK"/>
          <w:kern w:val="0"/>
          <w:sz w:val="32"/>
          <w:szCs w:val="32"/>
        </w:rPr>
        <w:t>元，</w:t>
      </w:r>
      <w:r>
        <w:rPr>
          <w:rFonts w:hint="eastAsia" w:eastAsia="方正仿宋_GBK" w:cs="方正仿宋_GBK"/>
          <w:sz w:val="32"/>
          <w:szCs w:val="32"/>
        </w:rPr>
        <w:t>占一般公共预算财政拨款总支出的0.00%。</w:t>
      </w:r>
      <w:r>
        <w:rPr>
          <w:rFonts w:hint="eastAsia" w:eastAsia="方正仿宋_GBK" w:cs="方正仿宋_GBK"/>
          <w:kern w:val="0"/>
          <w:sz w:val="32"/>
          <w:szCs w:val="32"/>
        </w:rPr>
        <w:t>本单位无此项支出；</w:t>
      </w:r>
    </w:p>
    <w:p>
      <w:pPr>
        <w:widowControl/>
        <w:shd w:val="clear" w:color="auto" w:fill="FFFFFF"/>
        <w:kinsoku w:val="0"/>
        <w:overflowPunct w:val="0"/>
        <w:autoSpaceDE w:val="0"/>
        <w:autoSpaceDN w:val="0"/>
        <w:spacing w:before="105" w:after="105" w:line="560" w:lineRule="exact"/>
        <w:ind w:firstLine="600"/>
        <w:rPr>
          <w:rFonts w:eastAsia="方正仿宋_GBK" w:cs="方正仿宋_GBK"/>
          <w:color w:val="000000"/>
          <w:kern w:val="0"/>
          <w:sz w:val="32"/>
          <w:szCs w:val="32"/>
        </w:rPr>
      </w:pPr>
      <w:r>
        <w:rPr>
          <w:rFonts w:hint="eastAsia" w:eastAsia="方正仿宋_GBK" w:cs="方正仿宋_GBK"/>
          <w:color w:val="000000"/>
          <w:kern w:val="0"/>
          <w:sz w:val="32"/>
          <w:szCs w:val="32"/>
        </w:rPr>
        <w:t>5.教育支出0.00元，占一般公共预算财政拨款总支出的0.00%。本单位无此项支出；</w:t>
      </w:r>
    </w:p>
    <w:p>
      <w:pPr>
        <w:widowControl/>
        <w:shd w:val="clear" w:color="auto" w:fill="FFFFFF"/>
        <w:kinsoku w:val="0"/>
        <w:overflowPunct w:val="0"/>
        <w:autoSpaceDE w:val="0"/>
        <w:autoSpaceDN w:val="0"/>
        <w:spacing w:before="105" w:after="105" w:line="560" w:lineRule="exact"/>
        <w:ind w:firstLine="600"/>
        <w:rPr>
          <w:rFonts w:hint="eastAsia" w:eastAsia="方正仿宋_GBK" w:cs="方正仿宋_GBK"/>
          <w:color w:val="000000"/>
          <w:kern w:val="0"/>
          <w:sz w:val="32"/>
          <w:szCs w:val="32"/>
        </w:rPr>
      </w:pPr>
      <w:r>
        <w:rPr>
          <w:rFonts w:hint="eastAsia" w:eastAsia="方正仿宋_GBK" w:cs="方正仿宋_GBK"/>
          <w:color w:val="000000"/>
          <w:kern w:val="0"/>
          <w:sz w:val="32"/>
          <w:szCs w:val="32"/>
        </w:rPr>
        <w:t>6.科学技术支出495,200.00元，占一般公共预算财政拨款总支出的1.21%。主要用于重点项目市级预算内前期工作经费支出；</w:t>
      </w:r>
    </w:p>
    <w:p>
      <w:pPr>
        <w:widowControl/>
        <w:shd w:val="clear" w:color="auto" w:fill="FFFFFF"/>
        <w:kinsoku w:val="0"/>
        <w:overflowPunct w:val="0"/>
        <w:autoSpaceDE w:val="0"/>
        <w:autoSpaceDN w:val="0"/>
        <w:spacing w:before="105" w:after="105" w:line="560" w:lineRule="exact"/>
        <w:ind w:firstLine="600"/>
        <w:rPr>
          <w:rFonts w:eastAsia="方正仿宋_GBK" w:cs="方正仿宋_GBK"/>
          <w:color w:val="000000"/>
          <w:kern w:val="0"/>
          <w:sz w:val="32"/>
          <w:szCs w:val="32"/>
        </w:rPr>
      </w:pPr>
      <w:r>
        <w:rPr>
          <w:rFonts w:hint="eastAsia" w:eastAsia="方正仿宋_GBK" w:cs="方正仿宋_GBK"/>
          <w:color w:val="000000"/>
          <w:kern w:val="0"/>
          <w:sz w:val="32"/>
          <w:szCs w:val="32"/>
        </w:rPr>
        <w:t xml:space="preserve"> 7.文化旅游体育与传媒支出0.00元，占一般公共预算财政拨款总支出的0.00%。本单位无此项支出；</w:t>
      </w:r>
    </w:p>
    <w:p>
      <w:pPr>
        <w:widowControl/>
        <w:shd w:val="clear" w:color="auto" w:fill="FFFFFF"/>
        <w:kinsoku w:val="0"/>
        <w:overflowPunct w:val="0"/>
        <w:autoSpaceDE w:val="0"/>
        <w:autoSpaceDN w:val="0"/>
        <w:spacing w:before="105" w:after="105" w:line="560" w:lineRule="exact"/>
        <w:ind w:firstLine="600"/>
        <w:rPr>
          <w:rFonts w:eastAsia="方正仿宋_GBK" w:cs="方正仿宋_GBK"/>
          <w:color w:val="000000"/>
          <w:kern w:val="0"/>
          <w:sz w:val="32"/>
          <w:szCs w:val="32"/>
        </w:rPr>
      </w:pPr>
      <w:r>
        <w:rPr>
          <w:rFonts w:hint="eastAsia" w:eastAsia="方正仿宋_GBK" w:cs="方正仿宋_GBK"/>
          <w:color w:val="000000"/>
          <w:kern w:val="0"/>
          <w:sz w:val="32"/>
          <w:szCs w:val="32"/>
        </w:rPr>
        <w:t>8.社会保障和就业支出1,181,235.30元，占一般公共预算财政拨款总支出的2.88%。主要用于社会保障缴费支出和离退休人员的生活补助；</w:t>
      </w:r>
    </w:p>
    <w:p>
      <w:pPr>
        <w:widowControl/>
        <w:shd w:val="clear" w:color="auto" w:fill="FFFFFF"/>
        <w:kinsoku w:val="0"/>
        <w:overflowPunct w:val="0"/>
        <w:autoSpaceDE w:val="0"/>
        <w:autoSpaceDN w:val="0"/>
        <w:spacing w:before="105" w:after="105" w:line="560" w:lineRule="exact"/>
        <w:ind w:firstLine="600"/>
        <w:rPr>
          <w:rFonts w:eastAsia="方正仿宋_GBK" w:cs="方正仿宋_GBK"/>
          <w:color w:val="000000"/>
          <w:kern w:val="0"/>
          <w:sz w:val="32"/>
          <w:szCs w:val="32"/>
        </w:rPr>
      </w:pPr>
      <w:r>
        <w:rPr>
          <w:rFonts w:hint="eastAsia" w:eastAsia="方正仿宋_GBK" w:cs="方正仿宋_GBK"/>
          <w:color w:val="000000"/>
          <w:kern w:val="0"/>
          <w:sz w:val="32"/>
          <w:szCs w:val="32"/>
        </w:rPr>
        <w:t>9.卫生健康支出962,850.91元，占一般公共预算财政拨款总支出的2.35%。主要用于社会保障职工基本医疗、公务员医疗补助、生育保险缴费的支出；</w:t>
      </w:r>
    </w:p>
    <w:p>
      <w:pPr>
        <w:widowControl/>
        <w:shd w:val="clear" w:color="auto" w:fill="FFFFFF"/>
        <w:kinsoku w:val="0"/>
        <w:overflowPunct w:val="0"/>
        <w:autoSpaceDE w:val="0"/>
        <w:autoSpaceDN w:val="0"/>
        <w:spacing w:before="105" w:after="105" w:line="560" w:lineRule="exact"/>
        <w:ind w:firstLine="600"/>
        <w:rPr>
          <w:rFonts w:eastAsia="方正仿宋_GBK" w:cs="方正仿宋_GBK"/>
          <w:color w:val="000000"/>
          <w:kern w:val="0"/>
          <w:sz w:val="32"/>
          <w:szCs w:val="32"/>
        </w:rPr>
      </w:pPr>
      <w:r>
        <w:rPr>
          <w:rFonts w:hint="eastAsia" w:eastAsia="方正仿宋_GBK" w:cs="方正仿宋_GBK"/>
          <w:color w:val="000000"/>
          <w:kern w:val="0"/>
          <w:sz w:val="32"/>
          <w:szCs w:val="32"/>
        </w:rPr>
        <w:t>10.节能环保支出0.00元，占一般公共预算财政拨款总支出的0.00%。本单位无此项支出；</w:t>
      </w:r>
    </w:p>
    <w:p>
      <w:pPr>
        <w:widowControl/>
        <w:shd w:val="clear" w:color="auto" w:fill="FFFFFF"/>
        <w:kinsoku w:val="0"/>
        <w:overflowPunct w:val="0"/>
        <w:autoSpaceDE w:val="0"/>
        <w:autoSpaceDN w:val="0"/>
        <w:spacing w:before="105" w:after="105" w:line="560" w:lineRule="exact"/>
        <w:ind w:firstLine="600"/>
        <w:rPr>
          <w:rFonts w:eastAsia="方正仿宋_GBK" w:cs="方正仿宋_GBK"/>
          <w:color w:val="000000"/>
          <w:kern w:val="0"/>
          <w:sz w:val="32"/>
          <w:szCs w:val="32"/>
        </w:rPr>
      </w:pPr>
      <w:r>
        <w:rPr>
          <w:rFonts w:hint="eastAsia" w:eastAsia="方正仿宋_GBK" w:cs="方正仿宋_GBK"/>
          <w:color w:val="000000"/>
          <w:kern w:val="0"/>
          <w:sz w:val="32"/>
          <w:szCs w:val="32"/>
        </w:rPr>
        <w:t>11.城乡社区支出37,270,578.25元，占一般公共预算财政拨款总支出的91.01%。主要用于人员工资福利、社会保障缴费、开展城乡社区管理事务业务工作及专项业务经费的支出；</w:t>
      </w:r>
    </w:p>
    <w:p>
      <w:pPr>
        <w:widowControl/>
        <w:shd w:val="clear" w:color="auto" w:fill="FFFFFF"/>
        <w:kinsoku w:val="0"/>
        <w:overflowPunct w:val="0"/>
        <w:autoSpaceDE w:val="0"/>
        <w:autoSpaceDN w:val="0"/>
        <w:spacing w:before="105" w:after="105" w:line="560" w:lineRule="exact"/>
        <w:ind w:firstLine="600"/>
        <w:rPr>
          <w:rFonts w:eastAsia="方正仿宋_GBK" w:cs="方正仿宋_GBK"/>
          <w:color w:val="000000"/>
          <w:kern w:val="0"/>
          <w:sz w:val="32"/>
          <w:szCs w:val="32"/>
        </w:rPr>
      </w:pPr>
      <w:r>
        <w:rPr>
          <w:rFonts w:hint="eastAsia" w:eastAsia="方正仿宋_GBK" w:cs="方正仿宋_GBK"/>
          <w:color w:val="000000"/>
          <w:kern w:val="0"/>
          <w:sz w:val="32"/>
          <w:szCs w:val="32"/>
        </w:rPr>
        <w:t>12.农林水支出0.00元，占一般公共预算财政拨款总支出的0.00%。本单位无此项支出；</w:t>
      </w:r>
    </w:p>
    <w:p>
      <w:pPr>
        <w:widowControl/>
        <w:shd w:val="clear" w:color="auto" w:fill="FFFFFF"/>
        <w:kinsoku w:val="0"/>
        <w:overflowPunct w:val="0"/>
        <w:autoSpaceDE w:val="0"/>
        <w:autoSpaceDN w:val="0"/>
        <w:spacing w:before="105" w:after="105" w:line="560" w:lineRule="exact"/>
        <w:ind w:firstLine="600"/>
        <w:rPr>
          <w:rFonts w:eastAsia="方正仿宋_GBK" w:cs="方正仿宋_GBK"/>
          <w:color w:val="000000"/>
          <w:kern w:val="0"/>
          <w:sz w:val="32"/>
          <w:szCs w:val="32"/>
        </w:rPr>
      </w:pPr>
      <w:r>
        <w:rPr>
          <w:rFonts w:hint="eastAsia" w:eastAsia="方正仿宋_GBK" w:cs="方正仿宋_GBK"/>
          <w:color w:val="000000"/>
          <w:kern w:val="0"/>
          <w:sz w:val="32"/>
          <w:szCs w:val="32"/>
        </w:rPr>
        <w:t>13.交通运输（类）支出0.00元，占一般公共预算财政拨款总支出的0.00%。本单位无此项支出；</w:t>
      </w:r>
    </w:p>
    <w:p>
      <w:pPr>
        <w:widowControl/>
        <w:shd w:val="clear" w:color="auto" w:fill="FFFFFF"/>
        <w:kinsoku w:val="0"/>
        <w:overflowPunct w:val="0"/>
        <w:autoSpaceDE w:val="0"/>
        <w:autoSpaceDN w:val="0"/>
        <w:spacing w:before="105" w:after="105" w:line="560" w:lineRule="exact"/>
        <w:ind w:firstLine="600"/>
        <w:rPr>
          <w:rFonts w:eastAsia="方正仿宋_GBK" w:cs="方正仿宋_GBK"/>
          <w:color w:val="000000"/>
          <w:kern w:val="0"/>
          <w:sz w:val="32"/>
          <w:szCs w:val="32"/>
        </w:rPr>
      </w:pPr>
      <w:r>
        <w:rPr>
          <w:rFonts w:hint="eastAsia" w:eastAsia="方正仿宋_GBK" w:cs="方正仿宋_GBK"/>
          <w:color w:val="000000"/>
          <w:kern w:val="0"/>
          <w:sz w:val="32"/>
          <w:szCs w:val="32"/>
        </w:rPr>
        <w:t>14.资源勘探工业信息等（类）支出类0.00元，占一般公共预算财政拨款总支出的0.00%。本单位无此项支出；</w:t>
      </w:r>
    </w:p>
    <w:p>
      <w:pPr>
        <w:widowControl/>
        <w:shd w:val="clear" w:color="auto" w:fill="FFFFFF"/>
        <w:kinsoku w:val="0"/>
        <w:overflowPunct w:val="0"/>
        <w:autoSpaceDE w:val="0"/>
        <w:autoSpaceDN w:val="0"/>
        <w:spacing w:before="105" w:after="105" w:line="560" w:lineRule="exact"/>
        <w:ind w:firstLine="600"/>
        <w:rPr>
          <w:rFonts w:eastAsia="方正仿宋_GBK" w:cs="方正仿宋_GBK"/>
          <w:color w:val="000000"/>
          <w:kern w:val="0"/>
          <w:sz w:val="32"/>
          <w:szCs w:val="32"/>
        </w:rPr>
      </w:pPr>
      <w:r>
        <w:rPr>
          <w:rFonts w:hint="eastAsia" w:eastAsia="方正仿宋_GBK" w:cs="方正仿宋_GBK"/>
          <w:color w:val="000000"/>
          <w:kern w:val="0"/>
          <w:sz w:val="32"/>
          <w:szCs w:val="32"/>
        </w:rPr>
        <w:t>15.商业服务业等（类）支出0.00元，占一般公共预算财政拨款总支出的0.00%。本单位无此项支出；</w:t>
      </w:r>
    </w:p>
    <w:p>
      <w:pPr>
        <w:widowControl/>
        <w:shd w:val="clear" w:color="auto" w:fill="FFFFFF"/>
        <w:kinsoku w:val="0"/>
        <w:overflowPunct w:val="0"/>
        <w:autoSpaceDE w:val="0"/>
        <w:autoSpaceDN w:val="0"/>
        <w:spacing w:before="105" w:after="105" w:line="560" w:lineRule="exact"/>
        <w:ind w:firstLine="600"/>
        <w:rPr>
          <w:rFonts w:eastAsia="方正仿宋_GBK" w:cs="方正仿宋_GBK"/>
          <w:color w:val="000000"/>
          <w:kern w:val="0"/>
          <w:sz w:val="32"/>
          <w:szCs w:val="32"/>
        </w:rPr>
      </w:pPr>
      <w:r>
        <w:rPr>
          <w:rFonts w:hint="eastAsia" w:eastAsia="方正仿宋_GBK" w:cs="方正仿宋_GBK"/>
          <w:color w:val="000000"/>
          <w:kern w:val="0"/>
          <w:sz w:val="32"/>
          <w:szCs w:val="32"/>
        </w:rPr>
        <w:t>16.金融（类）支出0.00元，占一般公共预算财政拨款总支出的0.00%。本单位无此项支出；</w:t>
      </w:r>
    </w:p>
    <w:p>
      <w:pPr>
        <w:widowControl/>
        <w:shd w:val="clear" w:color="auto" w:fill="FFFFFF"/>
        <w:kinsoku w:val="0"/>
        <w:overflowPunct w:val="0"/>
        <w:autoSpaceDE w:val="0"/>
        <w:autoSpaceDN w:val="0"/>
        <w:spacing w:before="105" w:after="105" w:line="560" w:lineRule="exact"/>
        <w:ind w:firstLine="600"/>
        <w:rPr>
          <w:rFonts w:eastAsia="方正仿宋_GBK" w:cs="方正仿宋_GBK"/>
          <w:color w:val="000000"/>
          <w:kern w:val="0"/>
          <w:sz w:val="32"/>
          <w:szCs w:val="32"/>
        </w:rPr>
      </w:pPr>
      <w:r>
        <w:rPr>
          <w:rFonts w:hint="eastAsia" w:eastAsia="方正仿宋_GBK" w:cs="方正仿宋_GBK"/>
          <w:color w:val="000000"/>
          <w:kern w:val="0"/>
          <w:sz w:val="32"/>
          <w:szCs w:val="32"/>
        </w:rPr>
        <w:t>17.援助其他地区（类）支出0.00元，占一般公共预算财政拨款总支出的0.00%。本单位无此项支出；</w:t>
      </w:r>
    </w:p>
    <w:p>
      <w:pPr>
        <w:widowControl/>
        <w:shd w:val="clear" w:color="auto" w:fill="FFFFFF"/>
        <w:kinsoku w:val="0"/>
        <w:overflowPunct w:val="0"/>
        <w:autoSpaceDE w:val="0"/>
        <w:autoSpaceDN w:val="0"/>
        <w:spacing w:before="105" w:after="105" w:line="560" w:lineRule="exact"/>
        <w:ind w:firstLine="600"/>
        <w:rPr>
          <w:rFonts w:eastAsia="方正仿宋_GBK" w:cs="方正仿宋_GBK"/>
          <w:color w:val="000000"/>
          <w:kern w:val="0"/>
          <w:sz w:val="32"/>
          <w:szCs w:val="32"/>
        </w:rPr>
      </w:pPr>
      <w:r>
        <w:rPr>
          <w:rFonts w:hint="eastAsia" w:eastAsia="方正仿宋_GBK" w:cs="方正仿宋_GBK"/>
          <w:color w:val="000000"/>
          <w:kern w:val="0"/>
          <w:sz w:val="32"/>
          <w:szCs w:val="32"/>
        </w:rPr>
        <w:t>18.自然资源海洋气象等（类）支出0.00元，占一般公共预算财政拨款总支出的0.00%。本单位无此项支出；</w:t>
      </w:r>
    </w:p>
    <w:p>
      <w:pPr>
        <w:widowControl/>
        <w:shd w:val="clear" w:color="auto" w:fill="FFFFFF"/>
        <w:kinsoku w:val="0"/>
        <w:overflowPunct w:val="0"/>
        <w:autoSpaceDE w:val="0"/>
        <w:autoSpaceDN w:val="0"/>
        <w:spacing w:before="105" w:after="105" w:line="560" w:lineRule="exact"/>
        <w:ind w:firstLine="600"/>
        <w:rPr>
          <w:rFonts w:eastAsia="方正仿宋_GBK" w:cs="方正仿宋_GBK"/>
          <w:color w:val="000000"/>
          <w:kern w:val="0"/>
          <w:sz w:val="32"/>
          <w:szCs w:val="32"/>
        </w:rPr>
      </w:pPr>
      <w:r>
        <w:rPr>
          <w:rFonts w:hint="eastAsia" w:eastAsia="方正仿宋_GBK" w:cs="方正仿宋_GBK"/>
          <w:color w:val="000000"/>
          <w:kern w:val="0"/>
          <w:sz w:val="32"/>
          <w:szCs w:val="32"/>
        </w:rPr>
        <w:t>19.住房保障支出1,035,436.00元，占一般公共预算财政拨款总支出的2.53%。主要用于住房公积金缴费支出；</w:t>
      </w:r>
    </w:p>
    <w:p>
      <w:pPr>
        <w:widowControl/>
        <w:shd w:val="clear" w:color="auto" w:fill="FFFFFF"/>
        <w:kinsoku w:val="0"/>
        <w:overflowPunct w:val="0"/>
        <w:autoSpaceDE w:val="0"/>
        <w:autoSpaceDN w:val="0"/>
        <w:spacing w:before="105" w:after="105" w:line="560" w:lineRule="exact"/>
        <w:ind w:firstLine="600"/>
        <w:rPr>
          <w:rFonts w:eastAsia="方正仿宋_GBK" w:cs="方正仿宋_GBK"/>
          <w:color w:val="000000"/>
          <w:kern w:val="0"/>
          <w:sz w:val="32"/>
          <w:szCs w:val="32"/>
        </w:rPr>
      </w:pPr>
      <w:r>
        <w:rPr>
          <w:rFonts w:hint="eastAsia" w:eastAsia="方正仿宋_GBK" w:cs="方正仿宋_GBK"/>
          <w:color w:val="000000"/>
          <w:kern w:val="0"/>
          <w:sz w:val="32"/>
          <w:szCs w:val="32"/>
        </w:rPr>
        <w:t>20.粮油物资储备支出0.00元，占一般公共预算财政拨款总支出的0.00%。本单位无此项支出；</w:t>
      </w:r>
    </w:p>
    <w:p>
      <w:pPr>
        <w:widowControl/>
        <w:shd w:val="clear" w:color="auto" w:fill="FFFFFF"/>
        <w:kinsoku w:val="0"/>
        <w:overflowPunct w:val="0"/>
        <w:autoSpaceDE w:val="0"/>
        <w:autoSpaceDN w:val="0"/>
        <w:spacing w:before="105" w:after="105" w:line="560" w:lineRule="exact"/>
        <w:ind w:firstLine="600"/>
        <w:rPr>
          <w:rFonts w:eastAsia="方正仿宋_GBK" w:cs="方正仿宋_GBK"/>
          <w:color w:val="000000"/>
          <w:kern w:val="0"/>
          <w:sz w:val="32"/>
          <w:szCs w:val="32"/>
        </w:rPr>
      </w:pPr>
      <w:r>
        <w:rPr>
          <w:rFonts w:hint="eastAsia" w:eastAsia="方正仿宋_GBK" w:cs="方正仿宋_GBK"/>
          <w:color w:val="000000"/>
          <w:kern w:val="0"/>
          <w:sz w:val="32"/>
          <w:szCs w:val="32"/>
        </w:rPr>
        <w:t>21.国有资本经营预算支出0.00元，占一般公共预算财政拨款总支出的0.00%。本单位无此项支出；</w:t>
      </w:r>
    </w:p>
    <w:p>
      <w:pPr>
        <w:widowControl/>
        <w:shd w:val="clear" w:color="auto" w:fill="FFFFFF"/>
        <w:kinsoku w:val="0"/>
        <w:overflowPunct w:val="0"/>
        <w:autoSpaceDE w:val="0"/>
        <w:autoSpaceDN w:val="0"/>
        <w:spacing w:before="105" w:after="105" w:line="560" w:lineRule="exact"/>
        <w:ind w:firstLine="600"/>
        <w:rPr>
          <w:rFonts w:eastAsia="方正仿宋_GBK" w:cs="方正仿宋_GBK"/>
          <w:color w:val="000000"/>
          <w:kern w:val="0"/>
          <w:sz w:val="32"/>
          <w:szCs w:val="32"/>
        </w:rPr>
      </w:pPr>
      <w:r>
        <w:rPr>
          <w:rFonts w:hint="eastAsia" w:eastAsia="方正仿宋_GBK" w:cs="方正仿宋_GBK"/>
          <w:color w:val="000000"/>
          <w:kern w:val="0"/>
          <w:sz w:val="32"/>
          <w:szCs w:val="32"/>
        </w:rPr>
        <w:t>22.灾害防治及应急管理支出0.00元，占一般公共预算财政拨款总支出的0.00%。本单位无此项支出；</w:t>
      </w:r>
    </w:p>
    <w:p>
      <w:pPr>
        <w:widowControl/>
        <w:shd w:val="clear" w:color="auto" w:fill="FFFFFF"/>
        <w:kinsoku w:val="0"/>
        <w:overflowPunct w:val="0"/>
        <w:autoSpaceDE w:val="0"/>
        <w:autoSpaceDN w:val="0"/>
        <w:spacing w:before="105" w:after="105" w:line="560" w:lineRule="exact"/>
        <w:ind w:firstLine="600"/>
        <w:rPr>
          <w:rFonts w:eastAsia="方正仿宋_GBK" w:cs="方正仿宋_GBK"/>
          <w:color w:val="000000"/>
          <w:kern w:val="0"/>
          <w:sz w:val="32"/>
          <w:szCs w:val="32"/>
        </w:rPr>
      </w:pPr>
      <w:r>
        <w:rPr>
          <w:rFonts w:hint="eastAsia" w:eastAsia="方正仿宋_GBK" w:cs="方正仿宋_GBK"/>
          <w:color w:val="000000"/>
          <w:kern w:val="0"/>
          <w:sz w:val="32"/>
          <w:szCs w:val="32"/>
        </w:rPr>
        <w:t>23.其他支出0.00元，占一般公共预算财政拨款总支出的0.00%。本单位无此项支出；</w:t>
      </w:r>
    </w:p>
    <w:p>
      <w:pPr>
        <w:widowControl/>
        <w:shd w:val="clear" w:color="auto" w:fill="FFFFFF"/>
        <w:kinsoku w:val="0"/>
        <w:overflowPunct w:val="0"/>
        <w:autoSpaceDE w:val="0"/>
        <w:autoSpaceDN w:val="0"/>
        <w:spacing w:before="105" w:after="105" w:line="560" w:lineRule="exact"/>
        <w:ind w:firstLine="600"/>
        <w:rPr>
          <w:rFonts w:eastAsia="方正仿宋_GBK" w:cs="方正仿宋_GBK"/>
          <w:color w:val="000000"/>
          <w:kern w:val="0"/>
          <w:sz w:val="32"/>
          <w:szCs w:val="32"/>
        </w:rPr>
      </w:pPr>
      <w:r>
        <w:rPr>
          <w:rFonts w:hint="eastAsia" w:eastAsia="方正仿宋_GBK" w:cs="方正仿宋_GBK"/>
          <w:color w:val="000000"/>
          <w:kern w:val="0"/>
          <w:sz w:val="32"/>
          <w:szCs w:val="32"/>
        </w:rPr>
        <w:t>24.债务还本支出0.00元，占一般公共预算财政拨款总支出的0.00%。本单位无此项支出；</w:t>
      </w:r>
    </w:p>
    <w:p>
      <w:pPr>
        <w:widowControl/>
        <w:shd w:val="clear" w:color="auto" w:fill="FFFFFF"/>
        <w:kinsoku w:val="0"/>
        <w:overflowPunct w:val="0"/>
        <w:autoSpaceDE w:val="0"/>
        <w:autoSpaceDN w:val="0"/>
        <w:spacing w:before="105" w:after="105" w:line="560" w:lineRule="exact"/>
        <w:ind w:firstLine="600"/>
        <w:rPr>
          <w:rFonts w:eastAsia="方正仿宋_GBK" w:cs="方正仿宋_GBK"/>
          <w:color w:val="000000"/>
          <w:kern w:val="0"/>
          <w:sz w:val="32"/>
          <w:szCs w:val="32"/>
        </w:rPr>
      </w:pPr>
      <w:r>
        <w:rPr>
          <w:rFonts w:hint="eastAsia" w:eastAsia="方正仿宋_GBK" w:cs="方正仿宋_GBK"/>
          <w:color w:val="000000"/>
          <w:kern w:val="0"/>
          <w:sz w:val="32"/>
          <w:szCs w:val="32"/>
        </w:rPr>
        <w:t>25.债务付息支出0.00元，占一般公共预算财政拨款总支出的0.00%。本单位无此项支出；</w:t>
      </w:r>
    </w:p>
    <w:p>
      <w:pPr>
        <w:widowControl/>
        <w:shd w:val="clear" w:color="auto" w:fill="FFFFFF"/>
        <w:kinsoku w:val="0"/>
        <w:overflowPunct w:val="0"/>
        <w:autoSpaceDE w:val="0"/>
        <w:autoSpaceDN w:val="0"/>
        <w:spacing w:before="105" w:after="105" w:line="560" w:lineRule="exact"/>
        <w:ind w:firstLine="600"/>
        <w:rPr>
          <w:rFonts w:eastAsia="方正仿宋_GBK" w:cs="方正仿宋_GBK"/>
          <w:kern w:val="0"/>
          <w:sz w:val="32"/>
          <w:szCs w:val="32"/>
        </w:rPr>
      </w:pPr>
      <w:r>
        <w:rPr>
          <w:rFonts w:hint="eastAsia" w:eastAsia="方正仿宋_GBK" w:cs="方正仿宋_GBK"/>
          <w:color w:val="000000"/>
          <w:kern w:val="0"/>
          <w:sz w:val="32"/>
          <w:szCs w:val="32"/>
        </w:rPr>
        <w:t>26.抗疫特别国债安排支出0.00元，占一般公共预算财政拨款总支出的0.00%。本单位无此项支出。</w:t>
      </w:r>
    </w:p>
    <w:p>
      <w:pPr>
        <w:kinsoku w:val="0"/>
        <w:overflowPunct w:val="0"/>
        <w:autoSpaceDE w:val="0"/>
        <w:autoSpaceDN w:val="0"/>
        <w:spacing w:line="560" w:lineRule="exact"/>
        <w:ind w:firstLine="640" w:firstLineChars="200"/>
        <w:jc w:val="left"/>
        <w:rPr>
          <w:rFonts w:eastAsia="方正黑体_GBK" w:cs="方正黑体_GBK"/>
          <w:sz w:val="32"/>
          <w:szCs w:val="32"/>
        </w:rPr>
      </w:pPr>
      <w:r>
        <w:rPr>
          <w:rFonts w:hint="eastAsia" w:eastAsia="方正黑体_GBK" w:cs="方正黑体_GBK"/>
          <w:sz w:val="32"/>
          <w:szCs w:val="32"/>
        </w:rPr>
        <w:t>四、财政拨款“三公”经费支出决算情况说明</w:t>
      </w:r>
    </w:p>
    <w:p>
      <w:pPr>
        <w:widowControl/>
        <w:kinsoku w:val="0"/>
        <w:overflowPunct w:val="0"/>
        <w:autoSpaceDE w:val="0"/>
        <w:autoSpaceDN w:val="0"/>
        <w:snapToGrid w:val="0"/>
        <w:spacing w:before="100" w:after="100" w:line="560" w:lineRule="exact"/>
        <w:ind w:firstLine="640" w:firstLineChars="200"/>
        <w:rPr>
          <w:rFonts w:eastAsia="方正仿宋_GBK" w:cs="方正仿宋_GBK"/>
          <w:kern w:val="0"/>
          <w:sz w:val="32"/>
          <w:szCs w:val="32"/>
        </w:rPr>
      </w:pPr>
      <w:r>
        <w:rPr>
          <w:rFonts w:hint="eastAsia" w:eastAsia="方正仿宋_GBK" w:cs="方正仿宋_GBK"/>
          <w:kern w:val="0"/>
          <w:sz w:val="32"/>
          <w:szCs w:val="32"/>
        </w:rPr>
        <w:t>2022年度财政拨款“三公”经费支出决算中，财政拨款“三公”经费支出年初预算为154,000.00元，支出决算为149,466.00元，完成年初预算的97.06%。其中：因公出国（境）费支出决算0.00元，占总支出决算的0.00%；公务用车购置费支出决算0.00元，占总支出决算的0.00%；公务用车运行维护费支出决算144,000.00元，占总支出决算的96.34%；公务接待费支出决算5,466.00元，占总支出决算的3.66%，具体是国内接待费支出决算5,466.00元（其中：外事接待费支出决算0.00元），国（境）外接待费支出决算0.00元。其中：</w:t>
      </w:r>
    </w:p>
    <w:p>
      <w:pPr>
        <w:widowControl/>
        <w:kinsoku w:val="0"/>
        <w:overflowPunct w:val="0"/>
        <w:autoSpaceDE w:val="0"/>
        <w:autoSpaceDN w:val="0"/>
        <w:snapToGrid w:val="0"/>
        <w:spacing w:before="100" w:after="100" w:line="560" w:lineRule="exact"/>
        <w:ind w:firstLine="640" w:firstLineChars="200"/>
        <w:jc w:val="left"/>
        <w:rPr>
          <w:rFonts w:eastAsia="方正楷体_GBK" w:cs="方正楷体_GBK"/>
          <w:bCs/>
          <w:sz w:val="32"/>
          <w:szCs w:val="32"/>
        </w:rPr>
      </w:pPr>
      <w:r>
        <w:rPr>
          <w:rFonts w:hint="eastAsia" w:eastAsia="方正楷体_GBK" w:cs="方正楷体_GBK"/>
          <w:bCs/>
          <w:sz w:val="32"/>
          <w:szCs w:val="32"/>
        </w:rPr>
        <w:t>(一)一般公共预算财政拨款“三公”经费支出决算总体情况</w:t>
      </w:r>
    </w:p>
    <w:p>
      <w:pPr>
        <w:widowControl/>
        <w:kinsoku w:val="0"/>
        <w:overflowPunct w:val="0"/>
        <w:autoSpaceDE w:val="0"/>
        <w:autoSpaceDN w:val="0"/>
        <w:snapToGrid w:val="0"/>
        <w:spacing w:before="100" w:after="100" w:line="560" w:lineRule="exact"/>
        <w:ind w:firstLine="640" w:firstLineChars="200"/>
        <w:jc w:val="both"/>
        <w:rPr>
          <w:rFonts w:hint="eastAsia" w:eastAsia="方正仿宋_GBK" w:cs="方正仿宋_GBK"/>
          <w:kern w:val="0"/>
          <w:sz w:val="32"/>
          <w:szCs w:val="32"/>
        </w:rPr>
      </w:pPr>
      <w:r>
        <w:rPr>
          <w:rFonts w:hint="eastAsia" w:eastAsia="方正仿宋_GBK" w:cs="方正仿宋_GBK"/>
          <w:kern w:val="0"/>
          <w:sz w:val="32"/>
          <w:szCs w:val="32"/>
        </w:rPr>
        <w:t>新平彝族傣族自治县城市管理局2022年度一般公共预算财政拨款“三公”经费支出年初预算为154,000.00元，支出决算为149,466.00元，完成年初预算的97.06%。其中：因公出国（境）费支出决算为0.00元，完成年初预算的0.00%；公务用车购置费支出决算为0.00元，完成年初预算的0.00%；公务用车运行维护费支出决算为144,000.00元，完成年初预算的96.34%；公务接待费支出决算为5,466.00元，完成年初预算的3.66%。2022年度一般公共预算财政拨款“三公”经费支出决算数小于年初预算数的主要原因是城乡社区管理事务业务接待工作减少。</w:t>
      </w:r>
    </w:p>
    <w:p>
      <w:pPr>
        <w:widowControl/>
        <w:kinsoku w:val="0"/>
        <w:overflowPunct w:val="0"/>
        <w:autoSpaceDE w:val="0"/>
        <w:autoSpaceDN w:val="0"/>
        <w:snapToGrid w:val="0"/>
        <w:spacing w:before="100" w:after="100" w:line="560" w:lineRule="exact"/>
        <w:ind w:firstLine="640" w:firstLineChars="200"/>
        <w:rPr>
          <w:rFonts w:eastAsia="方正仿宋_GBK" w:cs="方正仿宋_GBK"/>
          <w:sz w:val="32"/>
          <w:szCs w:val="32"/>
        </w:rPr>
      </w:pPr>
      <w:r>
        <w:rPr>
          <w:rFonts w:hint="eastAsia" w:eastAsia="方正仿宋_GBK" w:cs="方正仿宋_GBK"/>
          <w:sz w:val="32"/>
          <w:szCs w:val="32"/>
        </w:rPr>
        <w:t>2022年度一般公共预算财政拨款“三公”经费支出决算数比上年增加17,024.91元，增长12.85%。其中：因公出国（境）费支出决算与上年一致；公务用车购置费支出决算与上年一致；公务用车运行维护费支出决算增加11,903.91元，增长9.01%；公务接待费支出决算增加5,121.00元，增长</w:t>
      </w:r>
      <w:r>
        <w:rPr>
          <w:rFonts w:hint="eastAsia" w:eastAsia="方正仿宋_GBK" w:cs="方正仿宋_GBK"/>
          <w:sz w:val="32"/>
          <w:szCs w:val="32"/>
          <w:lang w:val="en-US" w:eastAsia="zh-CN"/>
        </w:rPr>
        <w:t>1384.35</w:t>
      </w:r>
      <w:r>
        <w:rPr>
          <w:rFonts w:hint="eastAsia" w:eastAsia="方正仿宋_GBK" w:cs="方正仿宋_GBK"/>
          <w:sz w:val="32"/>
          <w:szCs w:val="32"/>
        </w:rPr>
        <w:t>%。2022年度一般公共预算财政拨款“三公”经费支出决算增加的主要原因是开展城乡社区管理事务业务工作公务用车及公务接待业务增加。</w:t>
      </w:r>
    </w:p>
    <w:p>
      <w:pPr>
        <w:widowControl/>
        <w:kinsoku w:val="0"/>
        <w:overflowPunct w:val="0"/>
        <w:autoSpaceDE w:val="0"/>
        <w:autoSpaceDN w:val="0"/>
        <w:snapToGrid w:val="0"/>
        <w:spacing w:before="100" w:after="100" w:line="560" w:lineRule="exact"/>
        <w:ind w:firstLine="640" w:firstLineChars="200"/>
        <w:jc w:val="left"/>
        <w:rPr>
          <w:rFonts w:eastAsia="方正楷体_GBK" w:cs="方正楷体_GBK"/>
          <w:bCs/>
          <w:sz w:val="32"/>
          <w:szCs w:val="32"/>
        </w:rPr>
      </w:pPr>
      <w:r>
        <w:rPr>
          <w:rFonts w:hint="eastAsia" w:eastAsia="方正楷体_GBK" w:cs="方正楷体_GBK"/>
          <w:bCs/>
          <w:sz w:val="32"/>
          <w:szCs w:val="32"/>
        </w:rPr>
        <w:t>(二) 一般公共预算财政拨款“三公”经费支出实物量的具体情况</w:t>
      </w:r>
    </w:p>
    <w:p>
      <w:pPr>
        <w:widowControl/>
        <w:kinsoku w:val="0"/>
        <w:overflowPunct w:val="0"/>
        <w:autoSpaceDE w:val="0"/>
        <w:autoSpaceDN w:val="0"/>
        <w:snapToGrid w:val="0"/>
        <w:spacing w:before="100" w:after="100" w:line="560" w:lineRule="exact"/>
        <w:ind w:firstLine="643" w:firstLineChars="200"/>
        <w:rPr>
          <w:rFonts w:eastAsia="方正仿宋_GBK" w:cs="方正仿宋_GBK"/>
          <w:sz w:val="32"/>
          <w:szCs w:val="32"/>
        </w:rPr>
      </w:pPr>
      <w:r>
        <w:rPr>
          <w:rFonts w:hint="eastAsia" w:eastAsia="方正仿宋_GBK" w:cs="方正仿宋_GBK"/>
          <w:b/>
          <w:sz w:val="32"/>
          <w:szCs w:val="32"/>
        </w:rPr>
        <w:t>1.</w:t>
      </w:r>
      <w:r>
        <w:rPr>
          <w:rFonts w:hint="eastAsia" w:eastAsia="方正仿宋_GBK" w:cs="方正仿宋_GBK"/>
          <w:sz w:val="32"/>
          <w:szCs w:val="32"/>
        </w:rPr>
        <w:t>安排因公出国（境）团组0个，累计0人次。</w:t>
      </w:r>
    </w:p>
    <w:p>
      <w:pPr>
        <w:widowControl/>
        <w:kinsoku w:val="0"/>
        <w:overflowPunct w:val="0"/>
        <w:autoSpaceDE w:val="0"/>
        <w:autoSpaceDN w:val="0"/>
        <w:snapToGrid w:val="0"/>
        <w:spacing w:before="100" w:after="100" w:line="560" w:lineRule="exact"/>
        <w:ind w:firstLine="643" w:firstLineChars="200"/>
        <w:rPr>
          <w:rFonts w:eastAsia="方正仿宋_GBK" w:cs="方正仿宋_GBK"/>
          <w:sz w:val="32"/>
          <w:szCs w:val="32"/>
        </w:rPr>
      </w:pPr>
      <w:r>
        <w:rPr>
          <w:rFonts w:hint="eastAsia" w:eastAsia="方正仿宋_GBK" w:cs="方正仿宋_GBK"/>
          <w:b/>
          <w:sz w:val="32"/>
          <w:szCs w:val="32"/>
        </w:rPr>
        <w:t>2.</w:t>
      </w:r>
      <w:r>
        <w:rPr>
          <w:rFonts w:hint="eastAsia" w:eastAsia="方正仿宋_GBK" w:cs="方正仿宋_GBK"/>
          <w:sz w:val="32"/>
          <w:szCs w:val="32"/>
        </w:rPr>
        <w:t>购置车辆0辆。开支一般公共预算财政拨款的公务用车保有量为11辆。主要用于开展城乡社区管理事务业务及专项业务工作所需车辆燃料费、维修费、过路过桥费、保险费等。</w:t>
      </w:r>
    </w:p>
    <w:p>
      <w:pPr>
        <w:widowControl/>
        <w:kinsoku w:val="0"/>
        <w:overflowPunct w:val="0"/>
        <w:autoSpaceDE w:val="0"/>
        <w:autoSpaceDN w:val="0"/>
        <w:snapToGrid w:val="0"/>
        <w:spacing w:before="100" w:after="100" w:line="560" w:lineRule="exact"/>
        <w:ind w:firstLine="643" w:firstLineChars="200"/>
        <w:rPr>
          <w:rFonts w:eastAsia="方正仿宋_GBK" w:cs="方正仿宋_GBK"/>
          <w:sz w:val="32"/>
          <w:szCs w:val="32"/>
        </w:rPr>
      </w:pPr>
      <w:r>
        <w:rPr>
          <w:rFonts w:hint="eastAsia" w:eastAsia="方正仿宋_GBK" w:cs="方正仿宋_GBK"/>
          <w:b/>
          <w:sz w:val="32"/>
          <w:szCs w:val="32"/>
        </w:rPr>
        <w:t>3.</w:t>
      </w:r>
      <w:r>
        <w:rPr>
          <w:rFonts w:hint="eastAsia" w:eastAsia="方正仿宋_GBK" w:cs="方正仿宋_GBK"/>
          <w:sz w:val="32"/>
          <w:szCs w:val="32"/>
        </w:rPr>
        <w:t>安排国内公务接待9批次（其中：外事接待0批次），接待人次78人（其中：外事接待人次0人）。主要用于开展城乡社区管理事务业务及专项业务工作发生的接待支出。安排国（境）外公务接待0批次，接待人次0人。</w:t>
      </w:r>
    </w:p>
    <w:p>
      <w:pPr>
        <w:pStyle w:val="5"/>
        <w:widowControl/>
        <w:kinsoku w:val="0"/>
        <w:overflowPunct w:val="0"/>
        <w:autoSpaceDE w:val="0"/>
        <w:autoSpaceDN w:val="0"/>
        <w:spacing w:before="50" w:beforeAutospacing="0" w:after="50" w:afterAutospacing="0" w:line="560" w:lineRule="exact"/>
        <w:jc w:val="center"/>
        <w:rPr>
          <w:rFonts w:eastAsia="方正黑体_GBK" w:cs="方正黑体_GBK"/>
          <w:kern w:val="2"/>
          <w:sz w:val="32"/>
          <w:szCs w:val="32"/>
        </w:rPr>
      </w:pPr>
      <w:r>
        <w:rPr>
          <w:rFonts w:hint="eastAsia" w:eastAsia="方正黑体_GBK" w:cs="方正黑体_GBK"/>
          <w:kern w:val="2"/>
          <w:sz w:val="32"/>
          <w:szCs w:val="32"/>
        </w:rPr>
        <w:t>第四部分  其他重要事项及相关口径情况说明</w:t>
      </w:r>
    </w:p>
    <w:p>
      <w:pPr>
        <w:kinsoku w:val="0"/>
        <w:overflowPunct w:val="0"/>
        <w:autoSpaceDE w:val="0"/>
        <w:autoSpaceDN w:val="0"/>
        <w:spacing w:line="560" w:lineRule="exact"/>
        <w:ind w:firstLine="640" w:firstLineChars="200"/>
        <w:jc w:val="left"/>
        <w:rPr>
          <w:rFonts w:eastAsia="方正黑体_GBK" w:cs="方正黑体_GBK"/>
          <w:sz w:val="32"/>
          <w:szCs w:val="32"/>
        </w:rPr>
      </w:pPr>
      <w:r>
        <w:rPr>
          <w:rFonts w:hint="eastAsia" w:eastAsia="方正黑体_GBK" w:cs="方正黑体_GBK"/>
          <w:sz w:val="32"/>
          <w:szCs w:val="32"/>
        </w:rPr>
        <w:t>一、机关运行经费支出情况</w:t>
      </w:r>
    </w:p>
    <w:p>
      <w:pPr>
        <w:kinsoku w:val="0"/>
        <w:overflowPunct w:val="0"/>
        <w:autoSpaceDE w:val="0"/>
        <w:autoSpaceDN w:val="0"/>
        <w:spacing w:line="560" w:lineRule="exact"/>
        <w:ind w:firstLine="640" w:firstLineChars="200"/>
        <w:rPr>
          <w:rFonts w:eastAsia="方正仿宋_GBK" w:cs="方正仿宋_GBK"/>
          <w:sz w:val="32"/>
          <w:szCs w:val="32"/>
        </w:rPr>
      </w:pPr>
      <w:r>
        <w:rPr>
          <w:rFonts w:hint="eastAsia" w:eastAsia="方正仿宋_GBK" w:cs="方正仿宋_GBK"/>
          <w:sz w:val="32"/>
          <w:szCs w:val="32"/>
        </w:rPr>
        <w:t>新平彝族傣族自治县城市管理局2022年机关运行经费支出1,720,576.49元，与上年对比减少436,036.64元，下降20.22%,主要原因是因乡镇体制改革在戛洒镇使用的10名协管员划转至戛洒镇管理使用而产生的劳务费减少。部门机关运行经费主要用于开展城乡社区管理事务业务工作发生的办公费、水电费、咨询费、邮电费、差旅费、公务用车运行费、公务接待费及劳务费等费用的支出。</w:t>
      </w:r>
    </w:p>
    <w:p>
      <w:pPr>
        <w:kinsoku w:val="0"/>
        <w:overflowPunct w:val="0"/>
        <w:autoSpaceDE w:val="0"/>
        <w:autoSpaceDN w:val="0"/>
        <w:spacing w:line="560" w:lineRule="exact"/>
        <w:ind w:firstLine="640" w:firstLineChars="200"/>
        <w:jc w:val="left"/>
        <w:rPr>
          <w:rFonts w:eastAsia="方正黑体_GBK" w:cs="方正黑体_GBK"/>
          <w:sz w:val="32"/>
          <w:szCs w:val="32"/>
        </w:rPr>
      </w:pPr>
      <w:r>
        <w:rPr>
          <w:rFonts w:hint="eastAsia" w:eastAsia="方正黑体_GBK" w:cs="方正黑体_GBK"/>
          <w:sz w:val="32"/>
          <w:szCs w:val="32"/>
        </w:rPr>
        <w:t>二、国有资产占用情况</w:t>
      </w:r>
    </w:p>
    <w:p>
      <w:pPr>
        <w:widowControl/>
        <w:kinsoku w:val="0"/>
        <w:overflowPunct w:val="0"/>
        <w:autoSpaceDE w:val="0"/>
        <w:autoSpaceDN w:val="0"/>
        <w:spacing w:line="560" w:lineRule="exact"/>
        <w:ind w:firstLine="640" w:firstLineChars="200"/>
        <w:rPr>
          <w:rFonts w:eastAsia="方正仿宋_GBK" w:cs="方正仿宋_GBK"/>
          <w:color w:val="000000"/>
          <w:kern w:val="0"/>
          <w:sz w:val="32"/>
          <w:szCs w:val="32"/>
        </w:rPr>
      </w:pPr>
      <w:r>
        <w:rPr>
          <w:rFonts w:hint="eastAsia" w:eastAsia="方正仿宋_GBK" w:cs="方正仿宋_GBK"/>
          <w:color w:val="000000"/>
          <w:kern w:val="0"/>
          <w:sz w:val="32"/>
          <w:szCs w:val="32"/>
        </w:rPr>
        <w:t>截至2022年12月31日，新平彝族傣族自治县城市管理局资产总额7,482,325.78元，其中，流动资产376,158.65元，固定资产4,050,938.49元，对外投资及有价证券0.00元，在建工程0.00元，无形资产113,570.00元，其他资产(公共基础设施)2,941,658.64元（具体内容详见附表）。与上年相比，本年资产总额增加352,411.93元，其中固定资产减少4,942.20元。处置房屋建筑物932</w:t>
      </w:r>
      <w:r>
        <w:rPr>
          <w:rFonts w:hint="eastAsia" w:eastAsia="方正仿宋_GBK" w:cs="方正仿宋_GBK"/>
          <w:color w:val="000000"/>
          <w:kern w:val="0"/>
          <w:sz w:val="32"/>
          <w:szCs w:val="32"/>
          <w:lang w:val="en-US" w:eastAsia="zh-CN"/>
        </w:rPr>
        <w:t>.00</w:t>
      </w:r>
      <w:r>
        <w:rPr>
          <w:rFonts w:hint="eastAsia" w:eastAsia="方正仿宋_GBK" w:cs="方正仿宋_GBK"/>
          <w:color w:val="000000"/>
          <w:kern w:val="0"/>
          <w:sz w:val="32"/>
          <w:szCs w:val="32"/>
        </w:rPr>
        <w:t>平方米，账面原值573,438.00元；处置车辆1辆，账面原值35,200.00元；报废报损资产52项，账面原值138,184.20元，实现资产处置收入0.00元；出租房屋0.00平方米，账面原值0.00元，实现资产使用收入0.00元。（国有资产占有使用情况表详见附表）</w:t>
      </w:r>
    </w:p>
    <w:p>
      <w:pPr>
        <w:kinsoku w:val="0"/>
        <w:overflowPunct w:val="0"/>
        <w:autoSpaceDE w:val="0"/>
        <w:autoSpaceDN w:val="0"/>
        <w:spacing w:line="560" w:lineRule="exact"/>
        <w:ind w:firstLine="640" w:firstLineChars="200"/>
        <w:jc w:val="left"/>
        <w:rPr>
          <w:rFonts w:eastAsia="方正黑体_GBK" w:cs="方正黑体_GBK"/>
          <w:sz w:val="32"/>
          <w:szCs w:val="32"/>
        </w:rPr>
      </w:pPr>
      <w:r>
        <w:rPr>
          <w:rFonts w:hint="eastAsia" w:eastAsia="方正黑体_GBK" w:cs="方正黑体_GBK"/>
          <w:sz w:val="32"/>
          <w:szCs w:val="32"/>
        </w:rPr>
        <w:t>三、政府采购支出情况</w:t>
      </w:r>
    </w:p>
    <w:p>
      <w:pPr>
        <w:kinsoku w:val="0"/>
        <w:overflowPunct w:val="0"/>
        <w:autoSpaceDE w:val="0"/>
        <w:autoSpaceDN w:val="0"/>
        <w:spacing w:line="560" w:lineRule="exact"/>
        <w:ind w:firstLine="640" w:firstLineChars="200"/>
        <w:rPr>
          <w:rFonts w:eastAsia="方正仿宋_GBK" w:cs="方正仿宋_GBK"/>
          <w:sz w:val="32"/>
          <w:szCs w:val="32"/>
        </w:rPr>
      </w:pPr>
      <w:r>
        <w:rPr>
          <w:rFonts w:hint="eastAsia" w:eastAsia="方正仿宋_GBK" w:cs="方正仿宋_GBK"/>
          <w:sz w:val="32"/>
          <w:szCs w:val="32"/>
        </w:rPr>
        <w:t>2022年度，部门政府采购支出总额96.320.00元，其中：政府采购货物支出96,320.00元；政府采购工程支出0.00元；政府采购服务支出0.00元。授予中小企业合同金额0.00元，占政府采购支出总额的0.00%。政府采购支出情况与政府采购系统备案数据保持一致。</w:t>
      </w:r>
    </w:p>
    <w:p>
      <w:pPr>
        <w:kinsoku w:val="0"/>
        <w:overflowPunct w:val="0"/>
        <w:autoSpaceDE w:val="0"/>
        <w:autoSpaceDN w:val="0"/>
        <w:spacing w:line="560" w:lineRule="exact"/>
        <w:ind w:firstLine="640" w:firstLineChars="200"/>
        <w:jc w:val="left"/>
        <w:rPr>
          <w:rFonts w:eastAsia="方正黑体_GBK" w:cs="方正黑体_GBK"/>
          <w:sz w:val="32"/>
          <w:szCs w:val="32"/>
        </w:rPr>
      </w:pPr>
      <w:r>
        <w:rPr>
          <w:rFonts w:hint="eastAsia" w:eastAsia="方正黑体_GBK" w:cs="方正黑体_GBK"/>
          <w:sz w:val="32"/>
          <w:szCs w:val="32"/>
        </w:rPr>
        <w:t>四、部门绩效自评情况</w:t>
      </w:r>
    </w:p>
    <w:p>
      <w:pPr>
        <w:widowControl/>
        <w:kinsoku w:val="0"/>
        <w:overflowPunct w:val="0"/>
        <w:autoSpaceDE w:val="0"/>
        <w:autoSpaceDN w:val="0"/>
        <w:snapToGrid w:val="0"/>
        <w:spacing w:before="100" w:after="100" w:line="560" w:lineRule="exact"/>
        <w:ind w:firstLine="600"/>
        <w:jc w:val="left"/>
        <w:rPr>
          <w:rFonts w:eastAsia="方正仿宋_GBK" w:cs="方正仿宋_GBK"/>
          <w:sz w:val="32"/>
          <w:szCs w:val="32"/>
        </w:rPr>
      </w:pPr>
      <w:r>
        <w:rPr>
          <w:rFonts w:hint="eastAsia" w:eastAsia="方正仿宋_GBK" w:cs="方正仿宋_GBK"/>
          <w:sz w:val="32"/>
          <w:szCs w:val="32"/>
        </w:rPr>
        <w:t>部门绩效自评情况详见附表。</w:t>
      </w:r>
    </w:p>
    <w:p>
      <w:pPr>
        <w:kinsoku w:val="0"/>
        <w:overflowPunct w:val="0"/>
        <w:autoSpaceDE w:val="0"/>
        <w:autoSpaceDN w:val="0"/>
        <w:spacing w:line="560" w:lineRule="exact"/>
        <w:ind w:firstLine="640" w:firstLineChars="200"/>
        <w:jc w:val="left"/>
        <w:rPr>
          <w:rFonts w:eastAsia="方正黑体_GBK" w:cs="方正黑体_GBK"/>
          <w:sz w:val="32"/>
          <w:szCs w:val="32"/>
        </w:rPr>
      </w:pPr>
      <w:r>
        <w:rPr>
          <w:rFonts w:hint="eastAsia" w:eastAsia="方正黑体_GBK" w:cs="方正黑体_GBK"/>
          <w:sz w:val="32"/>
          <w:szCs w:val="32"/>
        </w:rPr>
        <w:t>五、其他重要事项情况说明</w:t>
      </w:r>
    </w:p>
    <w:p>
      <w:pPr>
        <w:widowControl/>
        <w:kinsoku w:val="0"/>
        <w:overflowPunct w:val="0"/>
        <w:autoSpaceDE w:val="0"/>
        <w:autoSpaceDN w:val="0"/>
        <w:snapToGrid w:val="0"/>
        <w:spacing w:before="100" w:after="100" w:line="560" w:lineRule="exact"/>
        <w:ind w:firstLine="640" w:firstLineChars="200"/>
        <w:rPr>
          <w:rFonts w:eastAsia="方正仿宋_GBK" w:cs="方正仿宋_GBK"/>
          <w:color w:val="000000"/>
          <w:kern w:val="0"/>
          <w:sz w:val="32"/>
          <w:szCs w:val="32"/>
        </w:rPr>
      </w:pPr>
      <w:r>
        <w:rPr>
          <w:rFonts w:hint="eastAsia" w:eastAsia="方正仿宋_GBK" w:cs="方正仿宋_GBK"/>
          <w:sz w:val="32"/>
          <w:szCs w:val="32"/>
        </w:rPr>
        <w:t>新平彝族傣族自治县城市管理局年度预算执行中承担县委</w:t>
      </w:r>
      <w:r>
        <w:rPr>
          <w:rFonts w:hint="eastAsia" w:eastAsia="方正仿宋_GBK" w:cs="方正仿宋_GBK"/>
          <w:sz w:val="32"/>
          <w:szCs w:val="32"/>
          <w:lang w:val="en-US" w:eastAsia="zh-CN"/>
        </w:rPr>
        <w:t>县</w:t>
      </w:r>
      <w:r>
        <w:rPr>
          <w:rFonts w:hint="eastAsia" w:eastAsia="方正仿宋_GBK" w:cs="方正仿宋_GBK"/>
          <w:sz w:val="32"/>
          <w:szCs w:val="32"/>
        </w:rPr>
        <w:t>政府赋予的新平县城市管理职能职责工作、临时性重点性各种工作任务已形成拖欠应付款16,345,300.00元。</w:t>
      </w:r>
    </w:p>
    <w:p>
      <w:pPr>
        <w:kinsoku w:val="0"/>
        <w:overflowPunct w:val="0"/>
        <w:autoSpaceDE w:val="0"/>
        <w:autoSpaceDN w:val="0"/>
        <w:spacing w:line="560" w:lineRule="exact"/>
        <w:ind w:firstLine="640" w:firstLineChars="200"/>
        <w:jc w:val="left"/>
        <w:rPr>
          <w:rFonts w:eastAsia="方正黑体_GBK" w:cs="方正黑体_GBK"/>
          <w:sz w:val="32"/>
          <w:szCs w:val="32"/>
        </w:rPr>
      </w:pPr>
      <w:r>
        <w:rPr>
          <w:rFonts w:hint="eastAsia" w:eastAsia="方正黑体_GBK" w:cs="方正黑体_GBK"/>
          <w:sz w:val="32"/>
          <w:szCs w:val="32"/>
        </w:rPr>
        <w:t>六、相关口径说明</w:t>
      </w:r>
    </w:p>
    <w:p>
      <w:pPr>
        <w:kinsoku w:val="0"/>
        <w:overflowPunct w:val="0"/>
        <w:autoSpaceDE w:val="0"/>
        <w:autoSpaceDN w:val="0"/>
        <w:spacing w:line="560" w:lineRule="exact"/>
        <w:ind w:firstLine="640" w:firstLineChars="200"/>
        <w:rPr>
          <w:rFonts w:eastAsia="方正仿宋_GBK" w:cs="方正仿宋_GBK"/>
          <w:sz w:val="32"/>
          <w:szCs w:val="32"/>
        </w:rPr>
      </w:pPr>
      <w:r>
        <w:rPr>
          <w:rFonts w:hint="eastAsia" w:eastAsia="方正楷体_GBK" w:cs="方正楷体_GBK"/>
          <w:bCs/>
          <w:sz w:val="32"/>
          <w:szCs w:val="32"/>
        </w:rPr>
        <w:t>（一）</w:t>
      </w:r>
      <w:r>
        <w:rPr>
          <w:rFonts w:hint="eastAsia" w:eastAsia="方正仿宋_GBK" w:cs="方正仿宋_GBK"/>
          <w:sz w:val="32"/>
          <w:szCs w:val="32"/>
        </w:rPr>
        <w:t>基本支出中人员经费包括工资福利支出和对个人和家庭的补助，公用经费包括商品和服务支出、资本性支出等人员经费以外的支出。</w:t>
      </w:r>
    </w:p>
    <w:p>
      <w:pPr>
        <w:kinsoku w:val="0"/>
        <w:overflowPunct w:val="0"/>
        <w:autoSpaceDE w:val="0"/>
        <w:autoSpaceDN w:val="0"/>
        <w:spacing w:line="560" w:lineRule="exact"/>
        <w:ind w:firstLine="640" w:firstLineChars="200"/>
        <w:rPr>
          <w:rFonts w:eastAsia="方正仿宋_GBK" w:cs="方正仿宋_GBK"/>
          <w:sz w:val="32"/>
          <w:szCs w:val="32"/>
        </w:rPr>
      </w:pPr>
      <w:r>
        <w:rPr>
          <w:rFonts w:hint="eastAsia" w:eastAsia="方正楷体_GBK" w:cs="方正楷体_GBK"/>
          <w:bCs/>
          <w:sz w:val="32"/>
          <w:szCs w:val="32"/>
        </w:rPr>
        <w:t>（二）</w:t>
      </w:r>
      <w:r>
        <w:rPr>
          <w:rFonts w:hint="eastAsia" w:eastAsia="方正仿宋_GBK" w:cs="方正仿宋_GBK"/>
          <w:sz w:val="32"/>
          <w:szCs w:val="32"/>
        </w:rPr>
        <w:t>机关运行经费指行政单位和参照公务员法管理的事业单位使用一般公共预算财政拨款安排的基本支出中的公用经费支出。</w:t>
      </w:r>
    </w:p>
    <w:p>
      <w:pPr>
        <w:kinsoku w:val="0"/>
        <w:overflowPunct w:val="0"/>
        <w:autoSpaceDE w:val="0"/>
        <w:autoSpaceDN w:val="0"/>
        <w:spacing w:line="560" w:lineRule="exact"/>
        <w:ind w:firstLine="640" w:firstLineChars="200"/>
        <w:rPr>
          <w:rFonts w:eastAsia="方正仿宋_GBK" w:cs="方正仿宋_GBK"/>
          <w:sz w:val="32"/>
          <w:szCs w:val="32"/>
        </w:rPr>
      </w:pPr>
      <w:r>
        <w:rPr>
          <w:rFonts w:hint="eastAsia" w:eastAsia="方正楷体_GBK" w:cs="方正楷体_GBK"/>
          <w:bCs/>
          <w:sz w:val="32"/>
          <w:szCs w:val="32"/>
        </w:rPr>
        <w:t>（三）</w:t>
      </w:r>
      <w:r>
        <w:rPr>
          <w:rFonts w:hint="eastAsia" w:eastAsia="方正仿宋_GBK" w:cs="方正仿宋_GBK"/>
          <w:sz w:val="32"/>
          <w:szCs w:val="32"/>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insoku w:val="0"/>
        <w:overflowPunct w:val="0"/>
        <w:autoSpaceDE w:val="0"/>
        <w:autoSpaceDN w:val="0"/>
        <w:spacing w:line="560" w:lineRule="exact"/>
        <w:ind w:firstLine="640" w:firstLineChars="200"/>
        <w:rPr>
          <w:rFonts w:eastAsia="方正仿宋_GBK" w:cs="方正仿宋_GBK"/>
          <w:sz w:val="32"/>
          <w:szCs w:val="32"/>
        </w:rPr>
      </w:pPr>
      <w:r>
        <w:rPr>
          <w:rFonts w:hint="eastAsia" w:eastAsia="方正楷体_GBK" w:cs="方正楷体_GBK"/>
          <w:bCs/>
          <w:sz w:val="32"/>
          <w:szCs w:val="32"/>
        </w:rPr>
        <w:t>（四）</w:t>
      </w:r>
      <w:r>
        <w:rPr>
          <w:rFonts w:hint="eastAsia" w:eastAsia="方正仿宋_GBK" w:cs="方正仿宋_GBK"/>
          <w:sz w:val="32"/>
          <w:szCs w:val="32"/>
        </w:rPr>
        <w:t>“三公”经费决算数是指各部门（含下属单位）当年通过本级财政拨款和以前年度财政拨款结转结余资金安排的因公出国（境）费、公务用车购置及运行维护费和公务接待费支出数（包括基本支出和项目支出）。</w:t>
      </w:r>
    </w:p>
    <w:p>
      <w:pPr>
        <w:pStyle w:val="5"/>
        <w:widowControl/>
        <w:kinsoku w:val="0"/>
        <w:overflowPunct w:val="0"/>
        <w:autoSpaceDE w:val="0"/>
        <w:autoSpaceDN w:val="0"/>
        <w:spacing w:before="50" w:beforeAutospacing="0" w:after="50" w:afterAutospacing="0" w:line="560" w:lineRule="exact"/>
        <w:jc w:val="center"/>
        <w:rPr>
          <w:rFonts w:eastAsia="方正黑体_GBK" w:cs="方正黑体_GBK"/>
          <w:kern w:val="2"/>
          <w:sz w:val="32"/>
          <w:szCs w:val="32"/>
        </w:rPr>
      </w:pPr>
      <w:r>
        <w:rPr>
          <w:rFonts w:hint="eastAsia" w:eastAsia="方正黑体_GBK" w:cs="方正黑体_GBK"/>
          <w:kern w:val="2"/>
          <w:sz w:val="32"/>
          <w:szCs w:val="32"/>
        </w:rPr>
        <w:t>第五部分  名词解释</w:t>
      </w:r>
    </w:p>
    <w:p>
      <w:pPr>
        <w:kinsoku w:val="0"/>
        <w:overflowPunct w:val="0"/>
        <w:autoSpaceDE w:val="0"/>
        <w:autoSpaceDN w:val="0"/>
        <w:spacing w:line="560" w:lineRule="exact"/>
        <w:ind w:firstLine="640" w:firstLineChars="200"/>
        <w:rPr>
          <w:rFonts w:eastAsia="方正仿宋_GBK" w:cs="方正仿宋_GBK"/>
          <w:sz w:val="32"/>
          <w:szCs w:val="32"/>
        </w:rPr>
      </w:pPr>
      <w:r>
        <w:rPr>
          <w:rFonts w:hint="eastAsia" w:eastAsia="方正仿宋_GBK" w:cs="方正仿宋_GBK"/>
          <w:sz w:val="32"/>
          <w:szCs w:val="32"/>
        </w:rPr>
        <w:t>部门决算：指本单位依据国家有关法律法规规定及履行职能情况编制，反映本单位所有预算收支和结余执行结果及绩效等情况的综合性年度报告，是改进本单位预算执行以及编制后续年度部门预算的参考和依据。</w:t>
      </w:r>
    </w:p>
    <w:p>
      <w:pPr>
        <w:pStyle w:val="5"/>
        <w:widowControl/>
        <w:shd w:val="clear" w:color="auto" w:fill="FFFFFF"/>
        <w:kinsoku w:val="0"/>
        <w:overflowPunct w:val="0"/>
        <w:autoSpaceDE w:val="0"/>
        <w:autoSpaceDN w:val="0"/>
        <w:spacing w:before="75" w:beforeAutospacing="0" w:after="0" w:afterAutospacing="0" w:line="560" w:lineRule="exact"/>
        <w:ind w:firstLine="645"/>
        <w:jc w:val="both"/>
        <w:rPr>
          <w:rFonts w:eastAsia="方正仿宋_GBK" w:cs="方正仿宋_GBK"/>
          <w:color w:val="000000"/>
          <w:sz w:val="32"/>
          <w:szCs w:val="32"/>
        </w:rPr>
      </w:pPr>
      <w:r>
        <w:rPr>
          <w:rFonts w:hint="eastAsia" w:eastAsia="方正仿宋_GBK" w:cs="方正仿宋_GBK"/>
          <w:color w:val="000000"/>
          <w:sz w:val="32"/>
          <w:szCs w:val="32"/>
          <w:shd w:val="clear" w:color="auto" w:fill="FFFFFF"/>
        </w:rPr>
        <w:t>财政拨款收入：是指县级财政当年拨付的财政性资金收入。</w:t>
      </w:r>
    </w:p>
    <w:p>
      <w:pPr>
        <w:pStyle w:val="5"/>
        <w:widowControl/>
        <w:shd w:val="clear" w:color="auto" w:fill="FFFFFF"/>
        <w:kinsoku w:val="0"/>
        <w:overflowPunct w:val="0"/>
        <w:autoSpaceDE w:val="0"/>
        <w:autoSpaceDN w:val="0"/>
        <w:spacing w:before="75" w:beforeAutospacing="0" w:after="0" w:afterAutospacing="0" w:line="560" w:lineRule="exact"/>
        <w:ind w:firstLine="645"/>
        <w:jc w:val="both"/>
        <w:rPr>
          <w:rFonts w:eastAsia="方正仿宋_GBK" w:cs="方正仿宋_GBK"/>
          <w:color w:val="000000"/>
          <w:sz w:val="32"/>
          <w:szCs w:val="32"/>
        </w:rPr>
      </w:pPr>
      <w:r>
        <w:rPr>
          <w:rFonts w:hint="eastAsia" w:eastAsia="方正仿宋_GBK" w:cs="方正仿宋_GBK"/>
          <w:color w:val="000000"/>
          <w:sz w:val="32"/>
          <w:szCs w:val="32"/>
          <w:shd w:val="clear" w:color="auto" w:fill="FFFFFF"/>
        </w:rPr>
        <w:t>上年结转和结余：是指以前年度尚未完成，结转到本年度按有关规定继续使用的资金。</w:t>
      </w:r>
    </w:p>
    <w:p>
      <w:pPr>
        <w:pStyle w:val="5"/>
        <w:widowControl/>
        <w:shd w:val="clear" w:color="auto" w:fill="FFFFFF"/>
        <w:kinsoku w:val="0"/>
        <w:overflowPunct w:val="0"/>
        <w:autoSpaceDE w:val="0"/>
        <w:autoSpaceDN w:val="0"/>
        <w:spacing w:before="75" w:beforeAutospacing="0" w:after="0" w:afterAutospacing="0" w:line="560" w:lineRule="exact"/>
        <w:ind w:firstLine="645"/>
        <w:jc w:val="both"/>
        <w:rPr>
          <w:rFonts w:eastAsia="方正仿宋_GBK" w:cs="方正仿宋_GBK"/>
          <w:color w:val="000000"/>
          <w:sz w:val="32"/>
          <w:szCs w:val="32"/>
        </w:rPr>
      </w:pPr>
      <w:r>
        <w:rPr>
          <w:rFonts w:hint="eastAsia" w:eastAsia="方正仿宋_GBK" w:cs="方正仿宋_GBK"/>
          <w:color w:val="000000"/>
          <w:sz w:val="32"/>
          <w:szCs w:val="32"/>
          <w:shd w:val="clear" w:color="auto" w:fill="FFFFFF"/>
        </w:rPr>
        <w:t>一般公共服务支出：是指本单位用于保障机构正常运转，开展财政管理活动的支出。</w:t>
      </w:r>
    </w:p>
    <w:p>
      <w:pPr>
        <w:pStyle w:val="5"/>
        <w:widowControl/>
        <w:shd w:val="clear" w:color="auto" w:fill="FFFFFF"/>
        <w:kinsoku w:val="0"/>
        <w:overflowPunct w:val="0"/>
        <w:autoSpaceDE w:val="0"/>
        <w:autoSpaceDN w:val="0"/>
        <w:spacing w:before="75" w:beforeAutospacing="0" w:after="0" w:afterAutospacing="0" w:line="560" w:lineRule="exact"/>
        <w:ind w:firstLine="645"/>
        <w:jc w:val="both"/>
        <w:rPr>
          <w:rFonts w:eastAsia="方正仿宋_GBK" w:cs="方正仿宋_GBK"/>
          <w:color w:val="000000"/>
          <w:sz w:val="32"/>
          <w:szCs w:val="32"/>
        </w:rPr>
      </w:pPr>
      <w:r>
        <w:rPr>
          <w:rFonts w:hint="eastAsia" w:eastAsia="方正仿宋_GBK" w:cs="方正仿宋_GBK"/>
          <w:color w:val="000000"/>
          <w:sz w:val="32"/>
          <w:szCs w:val="32"/>
          <w:shd w:val="clear" w:color="auto" w:fill="FFFFFF"/>
        </w:rPr>
        <w:t>社会保障和就业支出：是指本单位用于职工社会保障与就业方面的支出，主要指行政事业单位离退休支出、财政对其他社会保障基金的支出等。</w:t>
      </w:r>
    </w:p>
    <w:p>
      <w:pPr>
        <w:pStyle w:val="5"/>
        <w:widowControl/>
        <w:shd w:val="clear" w:color="auto" w:fill="FFFFFF"/>
        <w:kinsoku w:val="0"/>
        <w:overflowPunct w:val="0"/>
        <w:autoSpaceDE w:val="0"/>
        <w:autoSpaceDN w:val="0"/>
        <w:spacing w:before="75" w:beforeAutospacing="0" w:after="0" w:afterAutospacing="0" w:line="560" w:lineRule="exact"/>
        <w:ind w:firstLine="645"/>
        <w:jc w:val="both"/>
        <w:rPr>
          <w:rFonts w:eastAsia="方正仿宋_GBK" w:cs="方正仿宋_GBK"/>
          <w:color w:val="000000"/>
          <w:sz w:val="32"/>
          <w:szCs w:val="32"/>
        </w:rPr>
      </w:pPr>
      <w:r>
        <w:rPr>
          <w:rFonts w:hint="eastAsia" w:eastAsia="方正仿宋_GBK" w:cs="方正仿宋_GBK"/>
          <w:color w:val="000000"/>
          <w:sz w:val="32"/>
          <w:szCs w:val="32"/>
          <w:shd w:val="clear" w:color="auto" w:fill="FFFFFF"/>
        </w:rPr>
        <w:t>城乡社区支出：是指本单位为保障机构正常运转，完成日常工作任务及重点项目的支出，主要包括人员经费支出、公用经费支出和项目专项经费支出方面的支出。</w:t>
      </w:r>
    </w:p>
    <w:p>
      <w:pPr>
        <w:widowControl/>
        <w:shd w:val="clear" w:color="auto" w:fill="FFFFFF"/>
        <w:kinsoku w:val="0"/>
        <w:overflowPunct w:val="0"/>
        <w:autoSpaceDE w:val="0"/>
        <w:autoSpaceDN w:val="0"/>
        <w:spacing w:before="105" w:after="105" w:line="560" w:lineRule="exact"/>
        <w:ind w:firstLine="645"/>
        <w:jc w:val="left"/>
        <w:rPr>
          <w:rFonts w:eastAsia="方正仿宋_GBK" w:cs="方正仿宋_GBK"/>
          <w:color w:val="000000"/>
          <w:kern w:val="0"/>
          <w:sz w:val="32"/>
          <w:szCs w:val="32"/>
        </w:rPr>
      </w:pPr>
    </w:p>
    <w:p>
      <w:pPr>
        <w:kinsoku w:val="0"/>
        <w:overflowPunct w:val="0"/>
        <w:autoSpaceDE w:val="0"/>
        <w:autoSpaceDN w:val="0"/>
        <w:spacing w:line="560" w:lineRule="exact"/>
        <w:ind w:firstLine="640" w:firstLineChars="200"/>
        <w:jc w:val="left"/>
        <w:rPr>
          <w:rFonts w:eastAsia="方正仿宋_GBK" w:cs="方正仿宋_GBK"/>
          <w:sz w:val="32"/>
          <w:szCs w:val="32"/>
        </w:rPr>
      </w:pPr>
    </w:p>
    <w:p>
      <w:pPr>
        <w:kinsoku w:val="0"/>
        <w:overflowPunct w:val="0"/>
        <w:autoSpaceDE w:val="0"/>
        <w:autoSpaceDN w:val="0"/>
        <w:spacing w:line="560" w:lineRule="exact"/>
        <w:jc w:val="left"/>
        <w:rPr>
          <w:rFonts w:eastAsia="方正仿宋_GBK" w:cs="方正仿宋_GBK"/>
          <w:sz w:val="32"/>
          <w:szCs w:val="32"/>
        </w:rPr>
      </w:pPr>
    </w:p>
    <w:p>
      <w:pPr>
        <w:kinsoku w:val="0"/>
        <w:overflowPunct w:val="0"/>
        <w:autoSpaceDE w:val="0"/>
        <w:autoSpaceDN w:val="0"/>
        <w:spacing w:line="560" w:lineRule="exact"/>
        <w:jc w:val="left"/>
        <w:rPr>
          <w:rFonts w:eastAsia="方正仿宋_GBK" w:cs="方正仿宋_GBK"/>
          <w:b/>
          <w:sz w:val="32"/>
          <w:szCs w:val="32"/>
        </w:rPr>
      </w:pPr>
      <w:r>
        <w:rPr>
          <w:rFonts w:hint="eastAsia" w:eastAsia="方正仿宋_GBK" w:cs="方正仿宋_GBK"/>
          <w:b/>
          <w:sz w:val="32"/>
          <w:szCs w:val="32"/>
        </w:rPr>
        <w:t>监督索引号53042700246801111</w:t>
      </w:r>
    </w:p>
    <w:sectPr>
      <w:headerReference r:id="rId3" w:type="default"/>
      <w:footerReference r:id="rId4" w:type="default"/>
      <w:footerReference r:id="rId5" w:type="even"/>
      <w:pgSz w:w="11906" w:h="16838"/>
      <w:pgMar w:top="2041" w:right="1474" w:bottom="1304" w:left="1587" w:header="1361" w:footer="1191"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path/>
          <v:fill on="f" focussize="0,0"/>
          <v:stroke on="f" weight="1.25pt" joinstyle="miter"/>
          <v:imagedata o:title=""/>
          <o:lock v:ext="edit"/>
          <v:textbox inset="0mm,0mm,0mm,0mm" style="mso-fit-shape-to-text:t;">
            <w:txbxContent>
              <w:p>
                <w:pPr>
                  <w:pStyle w:val="3"/>
                  <w:rPr>
                    <w:rStyle w:val="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- 15 -</w:t>
                </w:r>
                <w:r>
                  <w:rPr>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IyNjRkYTkzMzlkZTIxZWNjMjI0ZWNmOTQ3MTA1MzIifQ=="/>
  </w:docVars>
  <w:rsids>
    <w:rsidRoot w:val="418178D4"/>
    <w:rsid w:val="00296707"/>
    <w:rsid w:val="00647633"/>
    <w:rsid w:val="00976AFE"/>
    <w:rsid w:val="00BC693F"/>
    <w:rsid w:val="055477C4"/>
    <w:rsid w:val="0DA73361"/>
    <w:rsid w:val="1235718D"/>
    <w:rsid w:val="158521DA"/>
    <w:rsid w:val="2ECD27D0"/>
    <w:rsid w:val="34966067"/>
    <w:rsid w:val="35096B9B"/>
    <w:rsid w:val="35E86141"/>
    <w:rsid w:val="3B3E6803"/>
    <w:rsid w:val="3B5258CD"/>
    <w:rsid w:val="418178D4"/>
    <w:rsid w:val="46C978C9"/>
    <w:rsid w:val="4C5E0AB3"/>
    <w:rsid w:val="4FF21C3E"/>
    <w:rsid w:val="59805F06"/>
    <w:rsid w:val="6094289E"/>
    <w:rsid w:val="61CD6067"/>
    <w:rsid w:val="64D771FD"/>
    <w:rsid w:val="66507267"/>
    <w:rsid w:val="677D19F7"/>
    <w:rsid w:val="69A578CA"/>
    <w:rsid w:val="6E2039C3"/>
    <w:rsid w:val="6F2179F2"/>
    <w:rsid w:val="753C7334"/>
    <w:rsid w:val="7D8950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Lines="30"/>
    </w:pPr>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玉溪市新平县党政机关单位</Company>
  <Pages>17</Pages>
  <Words>1321</Words>
  <Characters>7534</Characters>
  <Lines>62</Lines>
  <Paragraphs>17</Paragraphs>
  <TotalTime>60</TotalTime>
  <ScaleCrop>false</ScaleCrop>
  <LinksUpToDate>false</LinksUpToDate>
  <CharactersWithSpaces>8838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2023-09-21T07:35:00Z</dcterms:created>
  <dc:creator>陈艳</dc:creator>
  <cp:lastModifiedBy>鲁迹韩</cp:lastModifiedBy>
  <dcterms:modified xsi:type="dcterms:W3CDTF">2023-12-27T08:52:21Z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C01C6FD861004CB78CA755A5AFC29E35_11</vt:lpwstr>
  </property>
  <property fmtid="{D5CDD505-2E9C-101B-9397-08002B2CF9AE}" pid="3" name="KSOProductBuildVer">
    <vt:lpwstr>2052-12.1.0.15374</vt:lpwstr>
  </property>
</Properties>
</file>