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4"/>
          <w:szCs w:val="24"/>
        </w:rPr>
      </w:pPr>
      <w:r>
        <w:rPr>
          <w:rStyle w:val="5"/>
          <w:rFonts w:ascii="Arial" w:hAnsi="Arial" w:eastAsia="sans-serif" w:cs="Arial"/>
          <w:i w:val="0"/>
          <w:iCs w:val="0"/>
          <w:caps w:val="0"/>
          <w:color w:val="000000"/>
          <w:spacing w:val="0"/>
          <w:sz w:val="36"/>
          <w:szCs w:val="36"/>
        </w:rPr>
        <w:t>监督索引号</w:t>
      </w:r>
      <w:r>
        <w:rPr>
          <w:rStyle w:val="5"/>
          <w:rFonts w:hint="default" w:ascii="Arial" w:hAnsi="Arial" w:eastAsia="sans-serif" w:cs="Arial"/>
          <w:i w:val="0"/>
          <w:iCs w:val="0"/>
          <w:caps w:val="0"/>
          <w:color w:val="000000"/>
          <w:spacing w:val="0"/>
          <w:sz w:val="36"/>
          <w:szCs w:val="36"/>
        </w:rPr>
        <w:t>53042800143600101000</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ascii="方正小标宋_GBK" w:hAnsi="方正小标宋_GBK" w:eastAsia="方正小标宋_GBK" w:cs="方正小标宋_GBK"/>
          <w:i w:val="0"/>
          <w:iCs w:val="0"/>
          <w:caps w:val="0"/>
          <w:color w:val="000000"/>
          <w:spacing w:val="0"/>
          <w:sz w:val="43"/>
          <w:szCs w:val="43"/>
        </w:rPr>
        <w:t> </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sz w:val="43"/>
          <w:szCs w:val="43"/>
        </w:rPr>
        <w:t>元江哈尼族彝族傣族自治县公共资源交易中心2022年度部门决算</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6"/>
          <w:szCs w:val="36"/>
        </w:rPr>
        <w:t> </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ascii="方正黑体_GBK" w:hAnsi="方正黑体_GBK" w:eastAsia="方正黑体_GBK" w:cs="方正黑体_GBK"/>
          <w:i w:val="0"/>
          <w:iCs w:val="0"/>
          <w:caps w:val="0"/>
          <w:color w:val="000000"/>
          <w:spacing w:val="0"/>
          <w:sz w:val="31"/>
          <w:szCs w:val="31"/>
        </w:rPr>
        <w:t>目录</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第一部分  元江哈尼族彝族傣族自治县公共资源交易中心概况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ascii="方正楷体" w:hAnsi="方正楷体" w:eastAsia="方正楷体" w:cs="方正楷体"/>
          <w:i w:val="0"/>
          <w:iCs w:val="0"/>
          <w:caps w:val="0"/>
          <w:color w:val="000000"/>
          <w:spacing w:val="0"/>
          <w:sz w:val="31"/>
          <w:szCs w:val="31"/>
        </w:rPr>
        <w:t>一、主要职能</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二、部门基本情况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第二部分  2022年度部门决算表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一、收入支出决算表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二、收入决算表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三、支出决算表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四、财政拨款收入支出决算表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五、一般公共预算财政拨款收入支出决算表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六、一般公共预算财政拨款基本支出决算表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七、一般公共预算财政拨款项目支出决算表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八、政府性基金预算财政拨款收入支出决算表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九、国有资本经营预算财政拨款收入支出决算表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十、“三公”经费、行政参公单位机关运行经费情况表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第三部分  2022年度部门决算情况说明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一、收入决算情况说明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二、支出决算情况说明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三、一般公共预算财政拨款支出决算情况说明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四、财政拨款“三公”经费支出决算情况说明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第四部分  其他重要事项及相关口径情况说明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一、机关运行经费支出情况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二、国有资产占用情况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三、政府采购支出情况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四、部门绩效自评情况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（一）部门整体支出绩效自评情况</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（二）部门整体支出绩效自评表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（三）项目支出绩效自评表</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五、其他重要事项情况说明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default" w:ascii="方正楷体" w:hAnsi="方正楷体" w:eastAsia="方正楷体" w:cs="方正楷体"/>
          <w:i w:val="0"/>
          <w:iCs w:val="0"/>
          <w:caps w:val="0"/>
          <w:color w:val="000000"/>
          <w:spacing w:val="0"/>
          <w:sz w:val="31"/>
          <w:szCs w:val="31"/>
        </w:rPr>
        <w:t>六、相关口径说明</w:t>
      </w:r>
    </w:p>
    <w:p>
      <w:pPr>
        <w:pStyle w:val="2"/>
        <w:keepNext w:val="0"/>
        <w:keepLines w:val="0"/>
        <w:widowControl/>
        <w:suppressLineNumbers w:val="0"/>
        <w:spacing w:before="0" w:beforeAutospacing="0" w:after="0" w:afterAutospacing="0" w:line="585" w:lineRule="atLeast"/>
        <w:ind w:left="0" w:right="0" w:firstLine="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第五部分  名词解释</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30"/>
          <w:szCs w:val="30"/>
        </w:rPr>
        <w:t> </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第一部分  元江哈尼族彝族傣族自治县公共资源交易中心概况</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一、主要职能</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ascii="方正楷体_GBK" w:hAnsi="方正楷体_GBK" w:eastAsia="方正楷体_GBK" w:cs="方正楷体_GBK"/>
          <w:i w:val="0"/>
          <w:iCs w:val="0"/>
          <w:caps w:val="0"/>
          <w:color w:val="000000"/>
          <w:spacing w:val="0"/>
          <w:sz w:val="31"/>
          <w:szCs w:val="31"/>
        </w:rPr>
        <w:t>（一）主要职能</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ascii="方正仿宋_GBK" w:hAnsi="方正仿宋_GBK" w:eastAsia="方正仿宋_GBK" w:cs="方正仿宋_GBK"/>
          <w:i w:val="0"/>
          <w:iCs w:val="0"/>
          <w:caps w:val="0"/>
          <w:color w:val="000000"/>
          <w:spacing w:val="0"/>
          <w:sz w:val="31"/>
          <w:szCs w:val="31"/>
        </w:rPr>
        <w:t>元江哈尼族彝族傣族自治县公共资源交易中心的主要职责是：</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1.承担县级公共资源交易的有形市场职责，主要负责工程建设、政府采购、药品及医用耗材集中采购、国有产权、国有土地使用权和矿业权、罚没物品及其他公共资源进场交易服务工作。</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2.接受委托或依据授权，承担政府采购、药品及医用耗材集中采购、国有土地使用权出让、矿业权出让、国有产权交易及其他公共资源交易代理业务。</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3.负责发布、收集、存储县级公共资源交易信息资料。</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4.负责提供县级公共资源交易、政府采购和出让的法律、法规、政策和技术咨询服务。</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5.对公共资源交易活动进行跟踪服务，对交易过程中发生的违法违规问题及时报告并协助有关部门依法依规处理。</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6.负责制定县公共资源交易中心（县政府采购和出让中心）内部管理制度、业务流程、运作规则并组织实施，监督执行。</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7.负责管理和提供县级公共资源交易设施设备及场所。</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8.按有关规定统一制定、收取各项交易服务费用，管理交易专用账户。</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9.负责元江县“中介超市”的运行管理工作。</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10.负责元江县综合评标专家库的运行、维护和专家的选用工作，配合行业主管部门加强对评标专家的管理。</w:t>
      </w:r>
    </w:p>
    <w:p>
      <w:pPr>
        <w:pStyle w:val="2"/>
        <w:keepNext w:val="0"/>
        <w:keepLines w:val="0"/>
        <w:widowControl/>
        <w:suppressLineNumbers w:val="0"/>
        <w:spacing w:before="0" w:beforeAutospacing="0" w:after="0" w:afterAutospacing="0" w:line="585"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11.完成县政府、县公共资源交易管理局交办的其他工作。</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（二）2022年度重点工作任务概述</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截至2022年9月30日共完成交易项目50 个（其中：政采项目5个，工程项目17个，产权项目23个，国有土地出让5个）与去年同期相比增长61.3% ，交易总金额1,389,556,600.00元（其中：政采项目16,029,600.00元，工程项目1,325,055,800.00元，国有土地出让项目45,780,300.00元，国有产权交易项目2,690,900.00元）与去年同期相比增长98.64%，累计节约资金105,633,500.00元，累计溢出资金143,500.00元，远程异地项目7个。共有51家供应商入驻“政采云”平台，累计审核商品11,432件，通过政采云电子卖场</w:t>
      </w:r>
      <w:bookmarkStart w:id="0" w:name="_GoBack"/>
      <w:bookmarkEnd w:id="0"/>
      <w:r>
        <w:rPr>
          <w:rFonts w:hint="eastAsia" w:ascii="方正仿宋_GBK" w:hAnsi="方正仿宋_GBK" w:eastAsia="方正仿宋_GBK" w:cs="方正仿宋_GBK"/>
          <w:i w:val="0"/>
          <w:iCs w:val="0"/>
          <w:caps w:val="0"/>
          <w:color w:val="000000"/>
          <w:spacing w:val="0"/>
          <w:sz w:val="31"/>
          <w:szCs w:val="31"/>
        </w:rPr>
        <w:t>交易共有186笔，成交金额合计3,907,600.00元。公共资源交易电子化率100%。截至目前为10家业主办理15把临时专家CA锁，11个行业监管部门办理20把监管CA锁，35个自然人办理35把个人投标CA锁，为5家企业办理企业、法人CA锁。</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二、部门基本情况</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（一）机构设置情况</w:t>
      </w:r>
    </w:p>
    <w:p>
      <w:pPr>
        <w:pStyle w:val="2"/>
        <w:keepNext w:val="0"/>
        <w:keepLines w:val="0"/>
        <w:widowControl/>
        <w:suppressLineNumbers w:val="0"/>
        <w:spacing w:before="0" w:beforeAutospacing="0" w:after="0" w:afterAutospacing="0" w:line="585" w:lineRule="atLeast"/>
        <w:ind w:left="0" w:right="0" w:firstLine="600"/>
        <w:jc w:val="both"/>
        <w:rPr>
          <w:rFonts w:hint="eastAsia" w:ascii="sans-serif" w:hAnsi="sans-serif" w:eastAsia="方正仿宋_GBK" w:cs="sans-serif"/>
          <w:i w:val="0"/>
          <w:iCs w:val="0"/>
          <w:caps w:val="0"/>
          <w:color w:val="000000"/>
          <w:spacing w:val="0"/>
          <w:sz w:val="24"/>
          <w:szCs w:val="24"/>
          <w:lang w:eastAsia="zh-CN"/>
        </w:rPr>
      </w:pPr>
      <w:r>
        <w:rPr>
          <w:rFonts w:hint="eastAsia" w:ascii="方正仿宋_GBK" w:hAnsi="方正仿宋_GBK" w:eastAsia="方正仿宋_GBK" w:cs="方正仿宋_GBK"/>
          <w:i w:val="0"/>
          <w:iCs w:val="0"/>
          <w:caps w:val="0"/>
          <w:color w:val="000000"/>
          <w:spacing w:val="0"/>
          <w:sz w:val="31"/>
          <w:szCs w:val="31"/>
        </w:rPr>
        <w:t>我部门共设置4个内设机构，包括：综合股、政府采购股、工程交易股、产权交易股</w:t>
      </w:r>
      <w:r>
        <w:rPr>
          <w:rFonts w:hint="eastAsia" w:ascii="方正仿宋_GBK" w:hAnsi="方正仿宋_GBK" w:eastAsia="方正仿宋_GBK" w:cs="方正仿宋_GBK"/>
          <w:i w:val="0"/>
          <w:iCs w:val="0"/>
          <w:caps w:val="0"/>
          <w:color w:val="000000"/>
          <w:spacing w:val="0"/>
          <w:sz w:val="31"/>
          <w:szCs w:val="31"/>
          <w:lang w:eastAsia="zh-CN"/>
        </w:rPr>
        <w:t>。</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（二）决算单位构成</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纳入元江哈尼族彝族傣族自治县公共资源交易中心2022年度部门决算编报的单位共1个。其中：行政单位0个，参照公务员法管理的事业单位0个，其他事业单位1个。分别是：元江哈尼族彝族傣族自治县公共资源交易中心。</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（三）部门人员和车辆的编制及实有情况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2022年末实有人员编制11人。其中：行政编制0人（含行政工勤编制0人），事业编制11（含参公管理事业编制0人）；在职在编实有行政人员0人（含行政工勤人员0人），事业人员11人（含参公管理事业人员0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尚未移交养老保险基金发放养老金的离退休人员共计0人（离休0人，退休0人）；由养老保险基金发放养老金的离退休人员1人（离休0人，退休1人）。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实有车辆编制0辆，在编实有车辆0辆。</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第二部分  2022年度部门决算表</w:t>
      </w:r>
    </w:p>
    <w:p>
      <w:pPr>
        <w:pStyle w:val="2"/>
        <w:keepNext w:val="0"/>
        <w:keepLines w:val="0"/>
        <w:widowControl/>
        <w:suppressLineNumbers w:val="0"/>
        <w:spacing w:before="0" w:beforeAutospacing="0" w:after="0" w:afterAutospacing="0" w:line="585" w:lineRule="atLeast"/>
        <w:ind w:left="0" w:right="0" w:firstLine="600"/>
        <w:jc w:val="center"/>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（详见附件）</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元江哈尼族彝族傣族自治县公共资源交易中心没有政府性基金收入，也没有使用政府性基金安排的支出，故2022年度部门决算公开表附表8《政府性基金预算财政拨款收入支出决算表》为空表。</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元江哈尼族彝族傣族自治县公共资源交易中心没有国有资本经营收入，也没有使用国有资本经营安排的支出，故2022年度部门决算公开表附表9《国有资本经营预算财政拨款收入支出决算表》为空表。</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元江哈尼族彝族傣族自治县公共资源交易中心为二级预算单位，无部门整体支出绩效自评，故附表12《2022年度部门整体支出绩效自评情况》为空表。</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元江哈尼族彝族傣族自治县公共资源交易中心为二级预算单位，无部门整体支出绩效自评，故附表13《2022年度部门整体支出绩效自评表》为空表。</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元江哈尼族彝族傣族自治县公共资源交易中心无项目支出绩效自评，故附表14《2022年度项目支出绩效自评表》为空表。</w:t>
      </w:r>
    </w:p>
    <w:p>
      <w:pPr>
        <w:pStyle w:val="2"/>
        <w:keepNext w:val="0"/>
        <w:keepLines w:val="0"/>
        <w:widowControl/>
        <w:suppressLineNumbers w:val="0"/>
        <w:spacing w:before="0" w:beforeAutospacing="0" w:after="0" w:afterAutospacing="0" w:line="585" w:lineRule="atLeast"/>
        <w:ind w:left="0" w:right="0" w:firstLine="60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第三部分  2022年度部门决算情况说明</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一、收入决算情况说明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2022年度收入合计1,693,084.56元。其中：财政拨款收入1,693,084.56元，占总收入的100.00%；上级补助收入0.00元，占总收入的0.00%；事业收入0.00元（含教育收费0.00元），占总收入的0.00%；经营收入0.00元，占总收入的0.00%；附属单位缴款收入0.00元，占总收入的0.00%；其他收入0.00元，占总收入的0.00%。与上年相比，收入合计增加4,003.11元，增长0.24%。其中：财政拨款收入增加21,202.31元，增长1.27%，主要原因为办公费用支出较上年增加；上级补助收入增加0.00元，增长0.00%；事业收入0.00元（含教育收费0.00元），增长0.00%；经营收入0.00元，增长0.00%；附属单位缴款收入0.00元，增长0.00%；其他收入减少17,199.20元，下降100.00%，主要原因为2022年度无其他收入。</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二、支出决算情况说明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2022年度支出合计1,693,389.06元。其中：基本支出1,693,389.06元，占总支出的100.00%；项目支出0.00元，占总支出的0.00%；上缴上级支出0.00元，占总支出的0.00％；经营支出0.00元，占总支出的0.00％；对附属单位补助支出0.00元，占总支出的0.00％。与上年相比，支出合计增加4,289.07元，增长0.25%。其中：基本支出增加4,289.07元，增长0.25%，主要原因为单位人员工资、保险等支出增加；项目支出增加0.00元，增长0.00%；上缴上级支出增加0.00元，增长0.00%；经营支出增加0.00元，增长0.00%；对附属单位补助支出增加0.00元，增长0.00%。</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（一）基本支出情况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2022年度用于保障元江哈尼族彝族傣族自治县公共资源交易中心机关、下属事业单位等机构正常运转的日常支出1,693,389.06元。其中：基本工资、津贴补贴等人员经费支出1,629,421.42元，占基本支出的96.22％；办公费、印刷费、水电费、办公设备购置等公用经费63,967.64元，占基本支出的3.78％。</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（二）项目支出情况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2022年度用于保障元江哈尼族彝族傣族自治县公共资源交易中心机构、下属事业单位等机构为完成特定的行政工作任务或事业发展目标，用于专项业务工作的经费支出0.00元。其中：基本建设类项目支出0.00元。</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三、一般公共预算财政拨款支出决算情况说明</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（一）一般公共预算财政拨款支出决算总体情况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2022年度一般公共预算财政拨款支出1,693,084.56元，占本年支出合计的99.98%。与上年相比增加21,202.31元，增长1.27%，主要原因为单位人员工资、保险等经费支出较上年增加。</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（二）一般公共预算财政拨款支出决算具体情况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ascii="方正仿宋" w:hAnsi="方正仿宋" w:eastAsia="方正仿宋" w:cs="方正仿宋"/>
          <w:i w:val="0"/>
          <w:iCs w:val="0"/>
          <w:caps w:val="0"/>
          <w:color w:val="000000"/>
          <w:spacing w:val="0"/>
          <w:sz w:val="30"/>
          <w:szCs w:val="30"/>
        </w:rPr>
        <w:t> </w:t>
      </w:r>
      <w:r>
        <w:rPr>
          <w:rFonts w:hint="default" w:ascii="方正仿宋" w:hAnsi="方正仿宋" w:eastAsia="方正仿宋" w:cs="方正仿宋"/>
          <w:i w:val="0"/>
          <w:iCs w:val="0"/>
          <w:caps w:val="0"/>
          <w:color w:val="000000"/>
          <w:spacing w:val="0"/>
          <w:sz w:val="30"/>
          <w:szCs w:val="30"/>
        </w:rPr>
        <w:t> </w:t>
      </w:r>
      <w:r>
        <w:rPr>
          <w:rFonts w:hint="eastAsia" w:ascii="方正仿宋_GBK" w:hAnsi="方正仿宋_GBK" w:eastAsia="方正仿宋_GBK" w:cs="方正仿宋_GBK"/>
          <w:i w:val="0"/>
          <w:iCs w:val="0"/>
          <w:caps w:val="0"/>
          <w:color w:val="000000"/>
          <w:spacing w:val="0"/>
          <w:sz w:val="31"/>
          <w:szCs w:val="31"/>
        </w:rPr>
        <w:t>1.一般公共服务（类）支出1,386,410.14元，占一般公共预算财政拨款总支出的81.89%。主要用于单位人员经费工资、保险及办公经费的支出；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2.外交（类）支出0.00元，占一般公共预算财政拨款总支出的0.00%。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3.国防（类）支出0.00元，占一般公共预算财政拨款总支出的0.00%。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4.公共安全（类）支出0.00元，占一般公共预算财政拨款总支出的0.00%。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5.教育（类）支出0.00元，占一般公共预算财政拨款总支出的0.00%。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6.科学技术（类）支出0.00元，占一般公共预算财政拨款总支出的0.00%。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7.文化旅游体育与传媒（类）支出0.00元，占一般公共预算财政拨款总支出的0.00%。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8.社会保障和就业（类）支出90,901.44元，占一般公共预算财政拨款总支出的5.37%。主要用于单位养老保险缴费支出。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9.卫生健康（类）支出83,484.98元，占一般公共预算财政拨款总支出的4.93%。主要用于单位职工医疗保险缴费支出；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10.节能环保（类）支出0.00元，占一般公共预算财政拨款总支出的0.00%。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11.城乡社区（类）支出0.00元，占一般公共预算财政拨款总支出的0.00%。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12.农林水（类）支出0.00元，占一般公共预算财政拨款总支出的0.00%。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13.交通运输（类）支出0.00元，占一般公共预算财政拨款总支出的0.00%。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14.资源勘探工业信息等（类）支出类0.00元，占一般公共预算财政拨款总支出的0.00%。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15.商业服务业等（类）支出0.00元，占一般公共预算财政拨款总支出的0.00%。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16.金融（类）支出0.00元，占一般公共预算财政拨款总支出的0.00%。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17.援助其他地区（类）支出0.00元，占一般公共预算财政拨款总支出的0.00%。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18.自然资源海洋气象等（类）支出0.00元，占一般公共预算财政拨款总支出的0.00%。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19.住房保障（类）支出132,288.00元，占一般公共预算财政拨款总支出的7.81%。主要用于住房公积金支出；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20.粮油物资储备（类）支出0.00元，占一般公共预算财政拨款总支出的0.00%。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21.国有资本经营预算（类）支出0.00元，占一般公共预算财政拨款总支出的0.00%。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22.灾害防治及应急管理（类）支出0.00元，占一般公共预算财政拨款总支出的0.00%。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23.其他（类）支出0.00元，占一般公共预算财政拨款总支出的0.00%。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24.债务还本（类）支出0.00元，占一般公共预算财政拨款总支出的0.00%。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25.债务付息（类）支出0.00元，占一般公共预算财政拨款总支出的0.00%。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26.抗疫特别国债安排（类）支出0.00元，占一般公共预算财政拨款总支出的0.00%。</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四、财政拨款“三公”经费支出决算情况说明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2022年度财政拨款“三公”经费支出决算中，财政拨款“三公”经费支出年初预算为4,500.00元，支出决算为0.00元，完成年初预算的0.00%。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明细情况如下：</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（一）一般公共预算财政拨款“三公”经费支出决算总体情况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2022年度一般公共预算财政拨款“三公”经费支出年初预算为4,500.00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2022年度般公共预算财政拨款“三公”经费支出决算数小于年初预算数的主要原因为财政库款紧张导致本年度无三公经费支出报销。</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2022年度一般公共预算财政拨款“三公”经费支出决算数比上年减少790.00元，下降100.00%。其中：因公出国（境）费支出决算减少0.00元，下降0.00%；公务用车购置费支出决算减少0.00元，下降0.00%；公务用车运行维护费支出决算减少0.00元，下降0.00%；公务接待费支出决算减少790.00元，下降100.00%。2022年度一般公共预算财政拨款“三公”经费支出决算减少的主要原因为财政库款紧张导致本年度无三公经费支出报销。</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楷体_GBK" w:hAnsi="方正楷体_GBK" w:eastAsia="方正楷体_GBK" w:cs="方正楷体_GBK"/>
          <w:i w:val="0"/>
          <w:iCs w:val="0"/>
          <w:caps w:val="0"/>
          <w:color w:val="000000"/>
          <w:spacing w:val="0"/>
          <w:sz w:val="31"/>
          <w:szCs w:val="31"/>
        </w:rPr>
        <w:t>（二）一般公共预算财政拨款“三公”经费支出实物量的具体情况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1.安排因公出国（境）团组0个，累计0人次。</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2.购置车辆0辆。开支一般公共预算财政拨款的公务用车保有量为0辆。</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3.安排国内公务接待0批次（其中：外事接待0批次），接待人次0人（其中：外事接待人次0人）。</w:t>
      </w:r>
    </w:p>
    <w:p>
      <w:pPr>
        <w:pStyle w:val="2"/>
        <w:keepNext w:val="0"/>
        <w:keepLines w:val="0"/>
        <w:widowControl/>
        <w:suppressLineNumbers w:val="0"/>
        <w:spacing w:before="0" w:beforeAutospacing="0" w:after="0" w:afterAutospacing="0" w:line="360" w:lineRule="atLeast"/>
        <w:ind w:left="0" w:right="0" w:firstLine="600"/>
        <w:rPr>
          <w:rFonts w:hint="default" w:ascii="sans-serif" w:hAnsi="sans-serif" w:eastAsia="sans-serif" w:cs="sans-serif"/>
          <w:i w:val="0"/>
          <w:iCs w:val="0"/>
          <w:caps w:val="0"/>
          <w:color w:val="000000"/>
          <w:spacing w:val="0"/>
          <w:sz w:val="24"/>
          <w:szCs w:val="24"/>
        </w:rPr>
      </w:pPr>
      <w:r>
        <w:rPr>
          <w:rFonts w:ascii="方正仿宋_GB2312" w:hAnsi="方正仿宋_GB2312" w:eastAsia="方正仿宋_GB2312" w:cs="方正仿宋_GB2312"/>
          <w:i w:val="0"/>
          <w:iCs w:val="0"/>
          <w:caps w:val="0"/>
          <w:color w:val="000000"/>
          <w:spacing w:val="0"/>
          <w:sz w:val="30"/>
          <w:szCs w:val="30"/>
        </w:rPr>
        <w:t> </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第四部分  其他重要事项及相关口径情况说明</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一、机关运行经费支出情况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元江哈尼族彝族傣族自治县公共资源交易中心2022年机关运行经费支出0.00元，增加0.00元，增长0.00%,主要原因为事业单位无机关运行经费支出。</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二、国有资产占用情况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截至2022年12月31日，元江哈尼族彝族傣族自治县公共资源交易中心资产总额3,873,006.31元，其中，流动资产3,828,779.14元，固定资产44,227.17元，对外投资及有价证券0.00元，在建工程0.00元，无形资产0.00元，其他资产0.00元（具体内容详见附表）。与上年相比，本年资产总额增加3,591,911.59元，其中固定资产减少36,265.80元。处置房屋建筑物0.00平方米，账面原值0.00元；处置车辆0辆，账面原值0.00元；报废报损资产0项，账面原值0.00元，实现资产处置收入0.00元；出租房屋0.00平方米，账面原值0.00元，实现资产使用收入0.00元。</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三、政府采购支出情况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2022年度，部门政府采购支出总额0.00元，其中：政府采购货物支出0.00元；政府采购工程支出0.00元；政府采购服务支出0.00元。授予中小企业合同金额0.00元，占政府采购支出总额的0.00%。</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四、部门绩效自评情况</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本单位为二级预算单位，无部门绩效支出。部门绩效自评情况详见附表（附表10—附表12）。</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五、其他重要事项情况说明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无。</w:t>
      </w:r>
    </w:p>
    <w:p>
      <w:pPr>
        <w:pStyle w:val="2"/>
        <w:keepNext w:val="0"/>
        <w:keepLines w:val="0"/>
        <w:widowControl/>
        <w:suppressLineNumbers w:val="0"/>
        <w:spacing w:before="0" w:beforeAutospacing="0" w:after="0" w:afterAutospacing="0" w:line="585" w:lineRule="atLeast"/>
        <w:ind w:left="0" w:right="0" w:firstLine="600"/>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六、相关口径说明</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（一）基本支出中人员经费包括工资福利支出和对个人和家庭的补助，公用经费包括商品和服务支出、资本性支出等人员经费以外的支出。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（二）机关运行经费指行政单位和参照公务员法管理的事业单位使用财政拨款安排的基本支出中的公用经费支出。</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keepNext w:val="0"/>
        <w:keepLines w:val="0"/>
        <w:widowControl/>
        <w:suppressLineNumbers w:val="0"/>
        <w:spacing w:before="0" w:beforeAutospacing="0" w:after="0" w:afterAutospacing="0" w:line="585"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方正黑体_GBK" w:hAnsi="方正黑体_GBK" w:eastAsia="方正黑体_GBK" w:cs="方正黑体_GBK"/>
          <w:i w:val="0"/>
          <w:iCs w:val="0"/>
          <w:caps w:val="0"/>
          <w:color w:val="000000"/>
          <w:spacing w:val="0"/>
          <w:sz w:val="31"/>
          <w:szCs w:val="31"/>
        </w:rPr>
        <w:t>第五部分  名词解释</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政府采购：是指各级国家机关、事业单位和团体组织，使用财政性资金采购依法制定的集中采购目录以内的或者采购限额标准以上的货物、工程和服务的行为。</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财政拨款收入：是指县级财政当年拨付的资金。</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基本支出：是指为保障其机构正常运转、完成日常工作任务而编制的年度基本支出计划，包括人员经费和公用经费两部分。</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项目支出：是指部门为完成其特地的行政工作任务或事业发展目标，而在基本支出预算之外编制的年度项目支出计划。</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三公”经费：是指部门用一般公共预算财政拨款安排的因公出国（籍）费，公务用车购置及运行费和公务接待费。其中，因公出国（籍）指单位公务出国（籍）的住宿费、旅费、伙食补助费、杂费、培训费等支出；公务用车购置及运行费指单位公务用车购置及租用费、燃料费、维修费、过路过桥费、保险费、安全奖励费用等支出；公务接待费是指单位按规定开支的各类公务接待（含外宾接待）支出。</w:t>
      </w:r>
    </w:p>
    <w:p>
      <w:pPr>
        <w:pStyle w:val="2"/>
        <w:keepNext w:val="0"/>
        <w:keepLines w:val="0"/>
        <w:widowControl/>
        <w:suppressLineNumbers w:val="0"/>
        <w:spacing w:before="0" w:beforeAutospacing="0" w:after="0" w:afterAutospacing="0" w:line="600" w:lineRule="atLeast"/>
        <w:ind w:left="0" w:right="0" w:firstLine="645"/>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机关运行经费：是指部门决算中行政单位和参照公务员法管理的事业单位一般公共预算财政拨款基本支出中日常公用经费。 </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rPr>
        <w:t> </w:t>
      </w:r>
    </w:p>
    <w:p>
      <w:pPr>
        <w:pStyle w:val="2"/>
        <w:keepNext w:val="0"/>
        <w:keepLines w:val="0"/>
        <w:widowControl/>
        <w:suppressLineNumbers w:val="0"/>
        <w:spacing w:before="0" w:beforeAutospacing="0" w:after="0" w:afterAutospacing="0" w:line="585" w:lineRule="atLeast"/>
        <w:ind w:left="0" w:right="0" w:firstLine="600"/>
        <w:jc w:val="both"/>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Style w:val="5"/>
          <w:rFonts w:hint="default" w:ascii="Arial" w:hAnsi="Arial" w:eastAsia="sans-serif" w:cs="Arial"/>
          <w:i w:val="0"/>
          <w:iCs w:val="0"/>
          <w:caps w:val="0"/>
          <w:color w:val="000000"/>
          <w:spacing w:val="0"/>
          <w:sz w:val="36"/>
          <w:szCs w:val="36"/>
        </w:rPr>
        <w:t>监督索引号53042800143600101111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8409339-C953-4D4E-B5DC-035D9AF6C22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embedRegular r:id="rId2" w:fontKey="{E073F52E-8B23-4221-BAEA-2987E91400AE}"/>
  </w:font>
  <w:font w:name="方正小标宋_GBK">
    <w:panose1 w:val="03000509000000000000"/>
    <w:charset w:val="86"/>
    <w:family w:val="auto"/>
    <w:pitch w:val="default"/>
    <w:sig w:usb0="00000001" w:usb1="080E0000" w:usb2="00000000" w:usb3="00000000" w:csb0="00040000" w:csb1="00000000"/>
    <w:embedRegular r:id="rId3" w:fontKey="{1F4BA56C-ADDD-4B72-B017-CC6B6281FAC5}"/>
  </w:font>
  <w:font w:name="方正黑体_GBK">
    <w:panose1 w:val="03000509000000000000"/>
    <w:charset w:val="86"/>
    <w:family w:val="auto"/>
    <w:pitch w:val="default"/>
    <w:sig w:usb0="00000001" w:usb1="080E0000" w:usb2="00000000" w:usb3="00000000" w:csb0="00040000" w:csb1="00000000"/>
    <w:embedRegular r:id="rId4" w:fontKey="{DFA1F2D1-18A0-4515-88F1-46BEDED71EF5}"/>
  </w:font>
  <w:font w:name="方正楷体">
    <w:altName w:val="宋体"/>
    <w:panose1 w:val="00000000000000000000"/>
    <w:charset w:val="00"/>
    <w:family w:val="auto"/>
    <w:pitch w:val="default"/>
    <w:sig w:usb0="00000000" w:usb1="00000000" w:usb2="00000000" w:usb3="00000000" w:csb0="00000000" w:csb1="00000000"/>
    <w:embedRegular r:id="rId5" w:fontKey="{112429EC-D412-4CAA-B214-480EC59AA560}"/>
  </w:font>
  <w:font w:name="方正楷体_GBK">
    <w:panose1 w:val="03000509000000000000"/>
    <w:charset w:val="86"/>
    <w:family w:val="auto"/>
    <w:pitch w:val="default"/>
    <w:sig w:usb0="00000001" w:usb1="080E0000" w:usb2="00000000" w:usb3="00000000" w:csb0="00040000" w:csb1="00000000"/>
    <w:embedRegular r:id="rId6" w:fontKey="{6AFE52D4-A02D-4527-96B2-6EEBDB7B1D51}"/>
  </w:font>
  <w:font w:name="方正仿宋_GBK">
    <w:panose1 w:val="03000509000000000000"/>
    <w:charset w:val="86"/>
    <w:family w:val="auto"/>
    <w:pitch w:val="default"/>
    <w:sig w:usb0="00000001" w:usb1="080E0000" w:usb2="00000000" w:usb3="00000000" w:csb0="00040000" w:csb1="00000000"/>
    <w:embedRegular r:id="rId7" w:fontKey="{5FF37B9E-0122-408D-92A5-A455124688AE}"/>
  </w:font>
  <w:font w:name="方正仿宋">
    <w:altName w:val="仿宋"/>
    <w:panose1 w:val="00000000000000000000"/>
    <w:charset w:val="00"/>
    <w:family w:val="auto"/>
    <w:pitch w:val="default"/>
    <w:sig w:usb0="00000000" w:usb1="00000000" w:usb2="00000000" w:usb3="00000000" w:csb0="00000000" w:csb1="00000000"/>
    <w:embedRegular r:id="rId8" w:fontKey="{76DDD601-60AE-4AE2-AA33-9136AD801022}"/>
  </w:font>
  <w:font w:name="方正仿宋_GB2312">
    <w:panose1 w:val="02000000000000000000"/>
    <w:charset w:val="86"/>
    <w:family w:val="auto"/>
    <w:pitch w:val="default"/>
    <w:sig w:usb0="A00002BF" w:usb1="184F6CFA" w:usb2="00000012" w:usb3="00000000" w:csb0="00040001" w:csb1="00000000"/>
    <w:embedRegular r:id="rId9" w:fontKey="{B48214CF-1899-4DDF-8165-7E4B6974542C}"/>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mJjMWJmMWNkZWZlMWRhNWZlYTE3NmRmYWE1MmEifQ=="/>
  </w:docVars>
  <w:rsids>
    <w:rsidRoot w:val="287118C9"/>
    <w:rsid w:val="1D0D31E0"/>
    <w:rsid w:val="287118C9"/>
    <w:rsid w:val="32DD6976"/>
    <w:rsid w:val="42706590"/>
    <w:rsid w:val="748F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2023-10-30T02:01:00Z</dcterms:created>
  <dc:creator>YYYi_fan</dc:creator>
  <cp:lastModifiedBy>YYYi_fan</cp:lastModifiedBy>
  <dcterms:modified xsi:type="dcterms:W3CDTF">2024-01-12T01:24:01Z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E6989389D4074FE9B6D2B76680AED946_13</vt:lpwstr>
  </property>
</Properties>
</file>