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FD0C2">
      <w:pPr>
        <w:rPr>
          <w:rFonts w:ascii="Arial" w:hAnsi="Arial" w:eastAsia="Arial" w:cs="Arial"/>
          <w:b/>
          <w:sz w:val="36"/>
        </w:rPr>
      </w:pPr>
      <w:r>
        <w:rPr>
          <w:rFonts w:ascii="Arial" w:hAnsi="Arial" w:eastAsia="Arial" w:cs="Arial"/>
          <w:b/>
          <w:sz w:val="36"/>
        </w:rPr>
        <w:t>监督索引号53042800446801000</w:t>
      </w:r>
    </w:p>
    <w:p w14:paraId="290245C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sz w:val="36"/>
          <w:lang w:val="zh-CN"/>
        </w:rPr>
      </w:pPr>
      <w:r>
        <w:rPr>
          <w:rFonts w:hint="eastAsia" w:ascii="方正小标宋简体" w:hAnsi="方正小标宋简体" w:eastAsia="方正小标宋简体"/>
          <w:sz w:val="36"/>
          <w:lang w:val="zh-CN"/>
        </w:rPr>
        <w:t>元江哈尼族彝族傣族自治县应急管理局202</w:t>
      </w:r>
      <w:r>
        <w:rPr>
          <w:rFonts w:hint="eastAsia" w:ascii="方正小标宋简体" w:hAnsi="方正小标宋简体" w:eastAsia="方正小标宋简体"/>
          <w:sz w:val="36"/>
          <w:lang w:val="en-US"/>
        </w:rPr>
        <w:t>3</w:t>
      </w:r>
      <w:r>
        <w:rPr>
          <w:rFonts w:hint="eastAsia" w:ascii="方正小标宋简体" w:hAnsi="方正小标宋简体" w:eastAsia="方正小标宋简体"/>
          <w:sz w:val="36"/>
          <w:lang w:val="zh-CN"/>
        </w:rPr>
        <w:t>年度部门决算</w:t>
      </w:r>
    </w:p>
    <w:p w14:paraId="356452C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sz w:val="36"/>
          <w:lang w:val="zh-CN"/>
        </w:rPr>
      </w:pPr>
    </w:p>
    <w:p w14:paraId="26894C1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黑体" w:hAnsi="黑体" w:eastAsia="黑体"/>
          <w:sz w:val="36"/>
          <w:lang w:val="zh-CN"/>
        </w:rPr>
      </w:pPr>
      <w:r>
        <w:rPr>
          <w:rFonts w:hint="eastAsia" w:ascii="黑体" w:hAnsi="黑体" w:eastAsia="黑体"/>
          <w:sz w:val="36"/>
          <w:lang w:val="zh-CN"/>
        </w:rPr>
        <w:t>目录</w:t>
      </w:r>
    </w:p>
    <w:p w14:paraId="33391F5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sz w:val="30"/>
          <w:lang w:val="en-US"/>
        </w:rPr>
      </w:pPr>
      <w:r>
        <w:rPr>
          <w:rFonts w:hint="eastAsia" w:ascii="黑体" w:hAnsi="黑体" w:eastAsia="黑体"/>
          <w:sz w:val="30"/>
          <w:lang w:val="en-US" w:eastAsia="zh-CN"/>
        </w:rPr>
        <w:t>第一部分</w:t>
      </w:r>
      <w:r>
        <w:rPr>
          <w:rFonts w:hint="eastAsia" w:ascii="黑体" w:hAnsi="黑体" w:eastAsia="黑体"/>
          <w:sz w:val="30"/>
          <w:lang w:val="en-US"/>
        </w:rPr>
        <w:t xml:space="preserve"> 部门概况</w:t>
      </w:r>
    </w:p>
    <w:p w14:paraId="3F4C159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sz w:val="30"/>
          <w:lang w:val="en-US"/>
        </w:rPr>
      </w:pPr>
      <w:r>
        <w:rPr>
          <w:rFonts w:hint="eastAsia" w:ascii="楷体" w:hAnsi="楷体" w:eastAsia="楷体"/>
          <w:sz w:val="30"/>
          <w:lang w:val="en-US"/>
        </w:rPr>
        <w:t>一、主要职能</w:t>
      </w:r>
    </w:p>
    <w:p w14:paraId="40382AF6">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sz w:val="30"/>
          <w:lang w:val="en-US"/>
        </w:rPr>
      </w:pPr>
      <w:r>
        <w:rPr>
          <w:rFonts w:hint="eastAsia" w:ascii="楷体" w:hAnsi="楷体" w:eastAsia="楷体"/>
          <w:sz w:val="30"/>
          <w:lang w:val="en-US"/>
        </w:rPr>
        <w:t>二、部门基本情况</w:t>
      </w:r>
    </w:p>
    <w:p w14:paraId="3EC31FC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sz w:val="30"/>
          <w:lang w:val="en-US"/>
        </w:rPr>
      </w:pPr>
      <w:r>
        <w:rPr>
          <w:rFonts w:hint="eastAsia" w:ascii="黑体" w:hAnsi="黑体" w:eastAsia="黑体"/>
          <w:sz w:val="30"/>
          <w:lang w:val="en-US"/>
        </w:rPr>
        <w:t>第二部分  2023年度部门决算表</w:t>
      </w:r>
    </w:p>
    <w:p w14:paraId="3979EA7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sz w:val="30"/>
          <w:lang w:val="en-US"/>
        </w:rPr>
      </w:pPr>
      <w:r>
        <w:rPr>
          <w:rFonts w:hint="eastAsia" w:ascii="楷体" w:hAnsi="楷体" w:eastAsia="楷体"/>
          <w:sz w:val="30"/>
          <w:lang w:val="en-US"/>
        </w:rPr>
        <w:t>一、收入支出决算表</w:t>
      </w:r>
    </w:p>
    <w:p w14:paraId="15F68C7E">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sz w:val="30"/>
          <w:lang w:val="en-US"/>
        </w:rPr>
      </w:pPr>
      <w:r>
        <w:rPr>
          <w:rFonts w:hint="eastAsia" w:ascii="楷体" w:hAnsi="楷体" w:eastAsia="楷体"/>
          <w:sz w:val="30"/>
          <w:lang w:val="en-US"/>
        </w:rPr>
        <w:t>二、收入决算表</w:t>
      </w:r>
    </w:p>
    <w:p w14:paraId="6B37AF94">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sz w:val="30"/>
          <w:lang w:val="en-US"/>
        </w:rPr>
      </w:pPr>
      <w:r>
        <w:rPr>
          <w:rFonts w:hint="eastAsia" w:ascii="楷体" w:hAnsi="楷体" w:eastAsia="楷体"/>
          <w:sz w:val="30"/>
          <w:lang w:val="en-US"/>
        </w:rPr>
        <w:t>三、支出决算表</w:t>
      </w:r>
    </w:p>
    <w:p w14:paraId="1374FC5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sz w:val="30"/>
          <w:lang w:val="en-US"/>
        </w:rPr>
      </w:pPr>
      <w:r>
        <w:rPr>
          <w:rFonts w:hint="eastAsia" w:ascii="楷体" w:hAnsi="楷体" w:eastAsia="楷体"/>
          <w:sz w:val="30"/>
          <w:lang w:val="en-US"/>
        </w:rPr>
        <w:t>四、财政拨款收入支出决算总表</w:t>
      </w:r>
    </w:p>
    <w:p w14:paraId="3A36AB0B">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sz w:val="30"/>
          <w:lang w:val="en-US"/>
        </w:rPr>
      </w:pPr>
      <w:r>
        <w:rPr>
          <w:rFonts w:hint="eastAsia" w:ascii="楷体" w:hAnsi="楷体" w:eastAsia="楷体"/>
          <w:sz w:val="30"/>
          <w:lang w:val="en-US"/>
        </w:rPr>
        <w:t>五、一般公共预算财政拨款收入支出决算表</w:t>
      </w:r>
    </w:p>
    <w:p w14:paraId="7417626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sz w:val="30"/>
          <w:lang w:val="en-US"/>
        </w:rPr>
      </w:pPr>
      <w:r>
        <w:rPr>
          <w:rFonts w:hint="eastAsia" w:ascii="楷体" w:hAnsi="楷体" w:eastAsia="楷体"/>
          <w:sz w:val="30"/>
          <w:lang w:val="en-US"/>
        </w:rPr>
        <w:t>六、一般公共预算财政拨款基本支出决算表</w:t>
      </w:r>
    </w:p>
    <w:p w14:paraId="7FE229E1">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sz w:val="30"/>
          <w:lang w:val="en-US"/>
        </w:rPr>
      </w:pPr>
      <w:r>
        <w:rPr>
          <w:rFonts w:hint="eastAsia" w:ascii="楷体" w:hAnsi="楷体" w:eastAsia="楷体"/>
          <w:sz w:val="30"/>
          <w:lang w:val="en-US"/>
        </w:rPr>
        <w:t>七、一般公共预算财政拨款项目支出决算表</w:t>
      </w:r>
    </w:p>
    <w:p w14:paraId="4FB086FB">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sz w:val="30"/>
          <w:lang w:val="en-US"/>
        </w:rPr>
      </w:pPr>
      <w:r>
        <w:rPr>
          <w:rFonts w:hint="eastAsia" w:ascii="楷体" w:hAnsi="楷体" w:eastAsia="楷体"/>
          <w:sz w:val="30"/>
          <w:lang w:val="en-US"/>
        </w:rPr>
        <w:t>八、政府性基金预算财政拨款收入支出决算表</w:t>
      </w:r>
    </w:p>
    <w:p w14:paraId="374481E6">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sz w:val="30"/>
          <w:lang w:val="en-US"/>
        </w:rPr>
      </w:pPr>
      <w:r>
        <w:rPr>
          <w:rFonts w:hint="eastAsia" w:ascii="楷体" w:hAnsi="楷体" w:eastAsia="楷体"/>
          <w:sz w:val="30"/>
          <w:lang w:val="en-US"/>
        </w:rPr>
        <w:t>九、国有资本经营预算财政拨款收入支出决算表</w:t>
      </w:r>
    </w:p>
    <w:p w14:paraId="357C9437">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sz w:val="30"/>
          <w:lang w:val="en-US"/>
        </w:rPr>
      </w:pPr>
      <w:r>
        <w:rPr>
          <w:rFonts w:hint="eastAsia" w:ascii="楷体" w:hAnsi="楷体" w:eastAsia="楷体"/>
          <w:sz w:val="30"/>
          <w:lang w:val="en-US"/>
        </w:rPr>
        <w:t>十、</w:t>
      </w:r>
      <w:r>
        <w:rPr>
          <w:rFonts w:hint="eastAsia" w:ascii="楷体" w:hAnsi="楷体" w:eastAsia="楷体"/>
          <w:sz w:val="30"/>
          <w:lang w:val="en-US" w:eastAsia="zh-CN"/>
        </w:rPr>
        <w:t>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经费、行政参公单位机关运行经费情况表</w:t>
      </w:r>
    </w:p>
    <w:p w14:paraId="3D4A3B0E">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sz w:val="30"/>
          <w:lang w:val="en-US"/>
        </w:rPr>
      </w:pPr>
      <w:r>
        <w:rPr>
          <w:rFonts w:hint="eastAsia" w:ascii="楷体" w:hAnsi="楷体" w:eastAsia="楷体"/>
          <w:sz w:val="30"/>
          <w:lang w:val="en-US"/>
        </w:rPr>
        <w:t>十一、一般公共预算财政拨款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经费情况表</w:t>
      </w:r>
    </w:p>
    <w:p w14:paraId="092C121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sz w:val="30"/>
          <w:lang w:val="en-US"/>
        </w:rPr>
      </w:pPr>
      <w:r>
        <w:rPr>
          <w:rFonts w:hint="eastAsia" w:ascii="黑体" w:hAnsi="黑体" w:eastAsia="黑体"/>
          <w:sz w:val="30"/>
          <w:lang w:val="en-US"/>
        </w:rPr>
        <w:t>第三部分  2023年度部门决算情况说明</w:t>
      </w:r>
    </w:p>
    <w:p w14:paraId="621378CE">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sz w:val="30"/>
          <w:lang w:val="zh-CN" w:eastAsia="zh-CN"/>
        </w:rPr>
      </w:pPr>
      <w:r>
        <w:rPr>
          <w:rFonts w:hint="eastAsia" w:ascii="楷体" w:hAnsi="楷体" w:eastAsia="楷体"/>
          <w:sz w:val="30"/>
          <w:lang w:val="zh-CN"/>
        </w:rPr>
        <w:t>一、收入决算情况说明</w:t>
      </w:r>
    </w:p>
    <w:p w14:paraId="33D288CB">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sz w:val="30"/>
          <w:lang w:val="en-US"/>
        </w:rPr>
      </w:pPr>
      <w:r>
        <w:rPr>
          <w:rFonts w:hint="eastAsia" w:ascii="楷体" w:hAnsi="楷体" w:eastAsia="楷体"/>
          <w:sz w:val="30"/>
          <w:lang w:val="en-US"/>
        </w:rPr>
        <w:t>二、支出决算情况说明</w:t>
      </w:r>
    </w:p>
    <w:p w14:paraId="1000A509">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三、一般公共预算财政拨款支出决算情况说明</w:t>
      </w:r>
    </w:p>
    <w:p w14:paraId="1D842374">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sz w:val="30"/>
          <w:lang w:val="en-US"/>
        </w:rPr>
      </w:pPr>
      <w:r>
        <w:rPr>
          <w:rFonts w:hint="eastAsia" w:ascii="楷体" w:hAnsi="楷体" w:eastAsia="楷体"/>
          <w:sz w:val="30"/>
          <w:lang w:val="en-US"/>
        </w:rPr>
        <w:t>四、财政拨款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经费支出决算情况说明</w:t>
      </w:r>
    </w:p>
    <w:p w14:paraId="6C8EEE90">
      <w:pPr>
        <w:keepNext/>
        <w:keepLines/>
        <w:widowControl/>
        <w:spacing w:beforeLines="0" w:afterLines="0" w:line="360" w:lineRule="auto"/>
        <w:jc w:val="left"/>
        <w:rPr>
          <w:rFonts w:hint="eastAsia" w:ascii="黑体" w:hAnsi="黑体" w:eastAsia="黑体" w:cs="Times New Roman"/>
          <w:sz w:val="30"/>
          <w:szCs w:val="20"/>
          <w:lang w:val="en-US"/>
        </w:rPr>
      </w:pPr>
      <w:r>
        <w:rPr>
          <w:rFonts w:hint="eastAsia" w:ascii="黑体" w:hAnsi="黑体" w:eastAsia="黑体" w:cs="Times New Roman"/>
          <w:sz w:val="30"/>
          <w:szCs w:val="20"/>
          <w:lang w:val="en-US"/>
        </w:rPr>
        <w:t>第四部分  其他重要事项及相关口径情况说明</w:t>
      </w:r>
    </w:p>
    <w:p w14:paraId="4BC8F4EF">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一、机关运行经费支出情况</w:t>
      </w:r>
    </w:p>
    <w:p w14:paraId="7A5D8915">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二、国有资产占用情况</w:t>
      </w:r>
    </w:p>
    <w:p w14:paraId="3908338D">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三、政府采购支出情况</w:t>
      </w:r>
    </w:p>
    <w:p w14:paraId="49E8DB8C">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四、部门绩效自评情况</w:t>
      </w:r>
    </w:p>
    <w:p w14:paraId="60191D9C">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五、其他重要事项情况说明</w:t>
      </w:r>
    </w:p>
    <w:p w14:paraId="56D49B1B">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六、相关口径说明</w:t>
      </w:r>
    </w:p>
    <w:p w14:paraId="42489BD3">
      <w:pPr>
        <w:keepNext/>
        <w:keepLines/>
        <w:widowControl/>
        <w:spacing w:beforeLines="0" w:afterLines="0" w:line="360" w:lineRule="auto"/>
        <w:jc w:val="left"/>
        <w:rPr>
          <w:rFonts w:hint="eastAsia" w:ascii="黑体" w:hAnsi="黑体" w:eastAsia="黑体" w:cs="Times New Roman"/>
          <w:sz w:val="30"/>
          <w:szCs w:val="20"/>
          <w:lang w:val="en-US"/>
        </w:rPr>
      </w:pPr>
      <w:r>
        <w:rPr>
          <w:rFonts w:hint="eastAsia" w:ascii="黑体" w:hAnsi="黑体" w:eastAsia="黑体" w:cs="Times New Roman"/>
          <w:sz w:val="30"/>
          <w:szCs w:val="20"/>
          <w:lang w:val="en-US"/>
        </w:rPr>
        <w:t>第五部分  名词解释</w:t>
      </w:r>
    </w:p>
    <w:p w14:paraId="1BD52BB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sz w:val="30"/>
          <w:lang w:val="zh-CN"/>
        </w:rPr>
      </w:pPr>
    </w:p>
    <w:p w14:paraId="109D42C1">
      <w:pPr>
        <w:spacing w:beforeLines="0" w:afterLines="0" w:line="590" w:lineRule="exact"/>
        <w:jc w:val="center"/>
        <w:rPr>
          <w:rFonts w:hint="eastAsia" w:ascii="Times New Roman" w:hAnsi="Times New Roman" w:eastAsia="Times New Roman"/>
          <w:sz w:val="32"/>
          <w:lang w:val="zh-CN"/>
        </w:rPr>
      </w:pPr>
      <w:r>
        <w:rPr>
          <w:rFonts w:hint="eastAsia" w:ascii="黑体" w:hAnsi="黑体" w:eastAsia="黑体"/>
          <w:sz w:val="32"/>
          <w:lang w:val="zh-CN"/>
        </w:rPr>
        <w:t xml:space="preserve">第一部分  </w:t>
      </w:r>
      <w:r>
        <w:rPr>
          <w:rFonts w:hint="eastAsia" w:ascii="黑体" w:hAnsi="黑体" w:eastAsia="黑体"/>
          <w:sz w:val="32"/>
          <w:lang w:val="en-US" w:eastAsia="zh-CN"/>
        </w:rPr>
        <w:t>部门</w:t>
      </w:r>
      <w:r>
        <w:rPr>
          <w:rFonts w:hint="eastAsia" w:ascii="黑体" w:hAnsi="黑体" w:eastAsia="黑体"/>
          <w:sz w:val="32"/>
          <w:lang w:val="zh-CN"/>
        </w:rPr>
        <w:t>概况</w:t>
      </w:r>
    </w:p>
    <w:p w14:paraId="7D6D61F2">
      <w:pPr>
        <w:spacing w:beforeLines="0" w:afterLines="0" w:line="590" w:lineRule="exact"/>
        <w:ind w:firstLine="600"/>
        <w:jc w:val="both"/>
        <w:rPr>
          <w:rFonts w:hint="eastAsia" w:ascii="Times New Roman" w:hAnsi="Times New Roman" w:eastAsia="Times New Roman"/>
          <w:sz w:val="30"/>
          <w:lang w:val="zh-CN"/>
        </w:rPr>
      </w:pPr>
      <w:r>
        <w:rPr>
          <w:rFonts w:hint="eastAsia" w:ascii="黑体" w:hAnsi="黑体" w:eastAsia="黑体"/>
          <w:sz w:val="30"/>
          <w:lang w:val="zh-CN"/>
        </w:rPr>
        <w:t>一、主要职能</w:t>
      </w:r>
    </w:p>
    <w:p w14:paraId="4E804F62">
      <w:pPr>
        <w:keepNext w:val="0"/>
        <w:keepLines w:val="0"/>
        <w:pageBreakBefore w:val="0"/>
        <w:widowControl/>
        <w:kinsoku/>
        <w:wordWrap/>
        <w:overflowPunct/>
        <w:topLinePunct w:val="0"/>
        <w:autoSpaceDE/>
        <w:autoSpaceDN/>
        <w:bidi w:val="0"/>
        <w:adjustRightInd/>
        <w:snapToGrid/>
        <w:spacing w:before="100" w:beforeLines="0" w:after="100" w:afterLines="0" w:line="580" w:lineRule="exact"/>
        <w:ind w:firstLine="601"/>
        <w:jc w:val="left"/>
        <w:textAlignment w:val="auto"/>
        <w:rPr>
          <w:rFonts w:hint="eastAsia" w:ascii="楷体" w:hAnsi="楷体" w:eastAsia="楷体" w:cs="Times New Roman"/>
          <w:color w:val="auto"/>
          <w:sz w:val="30"/>
          <w:szCs w:val="20"/>
          <w:lang w:val="zh-CN"/>
        </w:rPr>
      </w:pPr>
      <w:r>
        <w:rPr>
          <w:rFonts w:hint="eastAsia" w:ascii="楷体" w:hAnsi="楷体" w:eastAsia="楷体" w:cs="Times New Roman"/>
          <w:color w:val="auto"/>
          <w:sz w:val="30"/>
          <w:szCs w:val="20"/>
          <w:lang w:val="zh-CN"/>
        </w:rPr>
        <w:t>（一）主要职能</w:t>
      </w:r>
    </w:p>
    <w:p w14:paraId="57356C10">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sz w:val="30"/>
          <w:szCs w:val="20"/>
          <w:lang w:val="zh-CN"/>
        </w:rPr>
      </w:pPr>
      <w:r>
        <w:rPr>
          <w:rFonts w:hint="eastAsia" w:ascii="仿宋" w:hAnsi="仿宋" w:eastAsia="仿宋" w:cs="Times New Roman"/>
          <w:sz w:val="30"/>
          <w:szCs w:val="20"/>
          <w:lang w:val="zh-CN"/>
        </w:rPr>
        <w:t>根据《中共云南省委办公厅、云南省人民政府办公厅印发〈关于市县机构改革的总体意见〉的通知》（云办发〔2018〕46 号）和《中共玉溪市委办公室、玉溪市人民政府办公室关于印发〈元江县机构改革方案〉的通知》（玉室字〔2019〕10 号）精神，元江哈尼族彝族傣族自治县应急管理局是元江县人民政府工作</w:t>
      </w:r>
      <w:r>
        <w:rPr>
          <w:rFonts w:hint="eastAsia" w:ascii="仿宋" w:hAnsi="仿宋" w:eastAsia="仿宋" w:cs="Times New Roman"/>
          <w:sz w:val="30"/>
          <w:szCs w:val="20"/>
          <w:lang w:val="en-US" w:eastAsia="zh-CN"/>
        </w:rPr>
        <w:t>部</w:t>
      </w:r>
      <w:r>
        <w:rPr>
          <w:rFonts w:hint="eastAsia" w:ascii="仿宋" w:hAnsi="仿宋" w:eastAsia="仿宋" w:cs="Times New Roman"/>
          <w:sz w:val="30"/>
          <w:szCs w:val="20"/>
          <w:lang w:val="zh-CN"/>
        </w:rPr>
        <w:t>门，为正科级。元江哈尼族彝族傣族自治县应急管理局设5个内设机构，</w:t>
      </w:r>
      <w:r>
        <w:rPr>
          <w:rFonts w:hint="eastAsia" w:ascii="仿宋" w:hAnsi="仿宋" w:eastAsia="仿宋" w:cs="Times New Roman"/>
          <w:sz w:val="30"/>
          <w:szCs w:val="20"/>
          <w:lang w:val="en-US" w:eastAsia="zh-CN"/>
        </w:rPr>
        <w:t>为：</w:t>
      </w:r>
      <w:r>
        <w:rPr>
          <w:rFonts w:hint="eastAsia" w:ascii="仿宋" w:hAnsi="仿宋" w:eastAsia="仿宋" w:cs="Times New Roman"/>
          <w:sz w:val="30"/>
          <w:szCs w:val="20"/>
          <w:lang w:val="zh-CN"/>
        </w:rPr>
        <w:t>办公室、工矿商贸监督管理股、危险化学品监督管理股、基础管理股、安全生产综合协调股。元江哈尼族彝族傣族自治县应急管理局贯彻落实党中央、省委、市委、县委关于应急工作的方针政策和决策部署，在履行职责过程中坚持和加强党对应急工作的集中统一领导。主要职责是：</w:t>
      </w:r>
    </w:p>
    <w:p w14:paraId="6CFC0CD4">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sz w:val="30"/>
          <w:szCs w:val="20"/>
          <w:lang w:val="zh-CN"/>
        </w:rPr>
      </w:pPr>
      <w:r>
        <w:rPr>
          <w:rFonts w:hint="eastAsia" w:ascii="仿宋" w:hAnsi="仿宋" w:eastAsia="仿宋" w:cs="Times New Roman"/>
          <w:sz w:val="30"/>
          <w:szCs w:val="20"/>
          <w:lang w:val="zh-CN"/>
        </w:rPr>
        <w:t>1.负责应急管理工作，指导各乡镇（街道）各部门应对安全生产类、自然灾害类等突发事件和综合减灾救灾工作。负责安全生产综合监督管理和工矿商贸行业安全生产综合监督管理工作。</w:t>
      </w:r>
    </w:p>
    <w:p w14:paraId="0AC1439E">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sz w:val="30"/>
          <w:szCs w:val="20"/>
          <w:lang w:val="en-US" w:eastAsia="zh-CN"/>
        </w:rPr>
      </w:pPr>
      <w:r>
        <w:rPr>
          <w:rFonts w:hint="eastAsia" w:ascii="仿宋" w:hAnsi="仿宋" w:eastAsia="仿宋" w:cs="Times New Roman"/>
          <w:sz w:val="30"/>
          <w:szCs w:val="20"/>
          <w:lang w:val="en-US" w:eastAsia="zh-CN"/>
        </w:rPr>
        <w:t>2.拟订应急管理、安全生产等相关政策，组织编制全县应急体系建设、安全生产和综合减灾规划，组织制定部门规范性文件并监督实施。</w:t>
      </w:r>
    </w:p>
    <w:p w14:paraId="259C7ACC">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sz w:val="30"/>
          <w:szCs w:val="20"/>
          <w:lang w:val="en-US" w:eastAsia="zh-CN"/>
        </w:rPr>
      </w:pPr>
      <w:r>
        <w:rPr>
          <w:rFonts w:hint="eastAsia" w:ascii="仿宋" w:hAnsi="仿宋" w:eastAsia="仿宋" w:cs="Times New Roman"/>
          <w:sz w:val="30"/>
          <w:szCs w:val="20"/>
          <w:lang w:val="en-US" w:eastAsia="zh-CN"/>
        </w:rPr>
        <w:t>3.指导应急预案体系建设，建立完善事故灾难和自然灾害分级应对制度，组织编制县级总体应急预案和安全生产类、自然灾害类专项预案，综合协调应急预案衔接工作，组织开展预案演练，推动应急重点工程和应急避难设施建设。</w:t>
      </w:r>
    </w:p>
    <w:p w14:paraId="17601DC5">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sz w:val="30"/>
          <w:szCs w:val="20"/>
          <w:lang w:val="en-US" w:eastAsia="zh-CN"/>
        </w:rPr>
      </w:pPr>
      <w:r>
        <w:rPr>
          <w:rFonts w:hint="eastAsia" w:ascii="仿宋" w:hAnsi="仿宋" w:eastAsia="仿宋" w:cs="Times New Roman"/>
          <w:sz w:val="30"/>
          <w:szCs w:val="20"/>
          <w:lang w:val="en-US" w:eastAsia="zh-CN"/>
        </w:rPr>
        <w:t>4.牵头建立统一的应急管理信息系统，负责信息传输渠道的规划和布局，组织协调建立监测预警和灾情报告制度，健全自然灾害信息资源获取和共享机制，依法统一发布灾情。</w:t>
      </w:r>
    </w:p>
    <w:p w14:paraId="326627F0">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sz w:val="30"/>
          <w:szCs w:val="20"/>
          <w:lang w:val="en-US"/>
        </w:rPr>
      </w:pPr>
      <w:r>
        <w:rPr>
          <w:rFonts w:hint="eastAsia" w:ascii="仿宋" w:hAnsi="仿宋" w:eastAsia="仿宋" w:cs="Times New Roman"/>
          <w:sz w:val="30"/>
          <w:szCs w:val="20"/>
          <w:lang w:val="en-US" w:eastAsia="zh-CN"/>
        </w:rPr>
        <w:t>5.</w:t>
      </w:r>
      <w:r>
        <w:rPr>
          <w:rFonts w:hint="eastAsia" w:ascii="仿宋" w:hAnsi="仿宋" w:eastAsia="仿宋" w:cs="Times New Roman"/>
          <w:sz w:val="30"/>
          <w:szCs w:val="20"/>
          <w:lang w:val="en-US"/>
        </w:rPr>
        <w:t>组织指导协调安全生产类、自然灾害类等突发事件应急救援，承担县级应对较大以上灾害指挥部工作，综合研判突发事件发展态势并提出应对建议，协助县委、县政府指定的负责同志组织较大以上灾害应急处置工作。</w:t>
      </w:r>
    </w:p>
    <w:p w14:paraId="511139A2">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sz w:val="30"/>
          <w:szCs w:val="20"/>
          <w:lang w:val="en-US" w:eastAsia="zh-CN"/>
        </w:rPr>
      </w:pPr>
      <w:r>
        <w:rPr>
          <w:rFonts w:hint="eastAsia" w:ascii="仿宋" w:hAnsi="仿宋" w:eastAsia="仿宋" w:cs="Times New Roman"/>
          <w:sz w:val="30"/>
          <w:szCs w:val="20"/>
          <w:lang w:val="en-US" w:eastAsia="zh-CN"/>
        </w:rPr>
        <w:t>6.统一协调指挥各类应急专业队伍，建立应急协调联动机制，推进指挥平台对接，衔接武警部队参与应急救援工作。</w:t>
      </w:r>
    </w:p>
    <w:p w14:paraId="3DFCBB1D">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sz w:val="30"/>
          <w:szCs w:val="20"/>
          <w:lang w:val="en-US" w:eastAsia="zh-CN"/>
        </w:rPr>
      </w:pPr>
      <w:r>
        <w:rPr>
          <w:rFonts w:hint="eastAsia" w:ascii="仿宋" w:hAnsi="仿宋" w:eastAsia="仿宋" w:cs="Times New Roman"/>
          <w:sz w:val="30"/>
          <w:szCs w:val="20"/>
          <w:lang w:val="en-US" w:eastAsia="zh-CN"/>
        </w:rPr>
        <w:t>7.统筹应急救援力量建设，指导消防、森林和草原火灾扑救、抗洪抢险、地震和地质灾害救援等应急救援队伍建设和安全生产专业应急救援队伍建设，指导各乡镇（街道）及社会应急救援力量建设。</w:t>
      </w:r>
    </w:p>
    <w:p w14:paraId="4146418B">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sz w:val="30"/>
          <w:szCs w:val="20"/>
          <w:lang w:val="en-US" w:eastAsia="zh-CN"/>
        </w:rPr>
      </w:pPr>
      <w:r>
        <w:rPr>
          <w:rFonts w:hint="eastAsia" w:ascii="仿宋" w:hAnsi="仿宋" w:eastAsia="仿宋" w:cs="Times New Roman"/>
          <w:sz w:val="30"/>
          <w:szCs w:val="20"/>
          <w:lang w:val="en-US" w:eastAsia="zh-CN"/>
        </w:rPr>
        <w:t>8.指导城镇、农村、森林、草原消防工作规划编制并推进落实，协调指导森林草原火灾扑救工作。</w:t>
      </w:r>
    </w:p>
    <w:p w14:paraId="006D8F21">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sz w:val="30"/>
          <w:szCs w:val="20"/>
          <w:lang w:val="en-US" w:eastAsia="zh-CN"/>
        </w:rPr>
      </w:pPr>
      <w:r>
        <w:rPr>
          <w:rFonts w:hint="eastAsia" w:ascii="仿宋" w:hAnsi="仿宋" w:eastAsia="仿宋" w:cs="Times New Roman"/>
          <w:sz w:val="30"/>
          <w:szCs w:val="20"/>
          <w:lang w:val="en-US" w:eastAsia="zh-CN"/>
        </w:rPr>
        <w:t>9.监督协调森林和草原火灾、水旱灾害、地震和地质灾害等防治工作，督促指导有关职能部门自然灾害综合监测预警工作，指导开展自然灾害综合风险评估工作。</w:t>
      </w:r>
    </w:p>
    <w:p w14:paraId="4803074F">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sz w:val="30"/>
          <w:szCs w:val="20"/>
          <w:lang w:val="en-US" w:eastAsia="zh-CN"/>
        </w:rPr>
      </w:pPr>
      <w:r>
        <w:rPr>
          <w:rFonts w:hint="eastAsia" w:ascii="仿宋" w:hAnsi="仿宋" w:eastAsia="仿宋" w:cs="Times New Roman"/>
          <w:sz w:val="30"/>
          <w:szCs w:val="20"/>
          <w:lang w:val="en-US" w:eastAsia="zh-CN"/>
        </w:rPr>
        <w:t>10.组织协调灾害救助工作，组织指导灾情核查、损失评估、救灾捐赠工作，管理、分配救灾款物并监督使用。</w:t>
      </w:r>
    </w:p>
    <w:p w14:paraId="436B46EB">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sz w:val="30"/>
          <w:szCs w:val="20"/>
          <w:lang w:val="en-US" w:eastAsia="zh-CN"/>
        </w:rPr>
      </w:pPr>
      <w:r>
        <w:rPr>
          <w:rFonts w:hint="eastAsia" w:ascii="仿宋" w:hAnsi="仿宋" w:eastAsia="仿宋" w:cs="Times New Roman"/>
          <w:sz w:val="30"/>
          <w:szCs w:val="20"/>
          <w:lang w:val="en-US" w:eastAsia="zh-CN"/>
        </w:rPr>
        <w:t>11.依法行使安全生产综合监督管理职权，指导协调、监督检查县级有关部门和各乡镇（街道）安全生产工作，组织实施安全生产巡查、考核工作。</w:t>
      </w:r>
    </w:p>
    <w:p w14:paraId="5897BFF2">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仿宋" w:hAnsi="仿宋" w:eastAsia="仿宋" w:cs="Times New Roman"/>
          <w:sz w:val="30"/>
          <w:szCs w:val="20"/>
          <w:lang w:val="en-US" w:eastAsia="zh-CN"/>
        </w:rPr>
      </w:pPr>
      <w:r>
        <w:rPr>
          <w:rFonts w:hint="eastAsia" w:ascii="仿宋" w:hAnsi="仿宋" w:eastAsia="仿宋" w:cs="Times New Roman"/>
          <w:sz w:val="30"/>
          <w:szCs w:val="20"/>
          <w:lang w:val="en-US" w:eastAsia="zh-CN"/>
        </w:rPr>
        <w:t>12.按照分级、属地原则，依法监督检查工矿商贸生产经营单位贯彻执行安全生产法律法规情况及其安全生产条件和有关设备（特种设备除外）、材料、劳动防护用品的安全生产管理工作。负责综合监督管理工矿商贸行业企业安全生产工作。依法组织并指导监督实施安全生产准入制度。负责危险化学品安全监督管理综合工作和烟花爆竹安全生产监督管理工作。</w:t>
      </w:r>
    </w:p>
    <w:p w14:paraId="793B117A">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sz w:val="30"/>
          <w:szCs w:val="20"/>
          <w:lang w:val="en-US" w:eastAsia="zh-CN"/>
        </w:rPr>
      </w:pPr>
      <w:r>
        <w:rPr>
          <w:rFonts w:hint="eastAsia" w:ascii="仿宋" w:hAnsi="仿宋" w:eastAsia="仿宋" w:cs="Times New Roman"/>
          <w:sz w:val="30"/>
          <w:szCs w:val="20"/>
          <w:lang w:val="en-US" w:eastAsia="zh-CN"/>
        </w:rPr>
        <w:t>13.依法组织或指导生产安全事故调查处理。</w:t>
      </w:r>
    </w:p>
    <w:p w14:paraId="523612EC">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sz w:val="30"/>
          <w:szCs w:val="20"/>
          <w:lang w:val="en-US" w:eastAsia="zh-CN"/>
        </w:rPr>
      </w:pPr>
      <w:r>
        <w:rPr>
          <w:rFonts w:hint="eastAsia" w:ascii="仿宋" w:hAnsi="仿宋" w:eastAsia="仿宋" w:cs="Times New Roman"/>
          <w:sz w:val="30"/>
          <w:szCs w:val="20"/>
          <w:lang w:val="en-US" w:eastAsia="zh-CN"/>
        </w:rPr>
        <w:t>14.按照国家、省、市和县委、县政府要求部署，开展应急管理方面的交流与合作。</w:t>
      </w:r>
    </w:p>
    <w:p w14:paraId="4620AB34">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sz w:val="30"/>
          <w:szCs w:val="20"/>
          <w:lang w:val="en-US" w:eastAsia="zh-CN"/>
        </w:rPr>
      </w:pPr>
      <w:r>
        <w:rPr>
          <w:rFonts w:hint="eastAsia" w:ascii="仿宋" w:hAnsi="仿宋" w:eastAsia="仿宋" w:cs="Times New Roman"/>
          <w:sz w:val="30"/>
          <w:szCs w:val="20"/>
          <w:lang w:val="en-US" w:eastAsia="zh-CN"/>
        </w:rPr>
        <w:t>15.制定应急物资储备和应急救援装备规划并组织实施，会同元江县发展和改革局（元江县粮食和物资储备局）等部门建立健全应急物资信息平台和调拨制度，在救灾时统一调度。</w:t>
      </w:r>
    </w:p>
    <w:p w14:paraId="108A9B1B">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仿宋" w:hAnsi="仿宋" w:eastAsia="仿宋" w:cs="Times New Roman"/>
          <w:sz w:val="30"/>
          <w:szCs w:val="20"/>
          <w:lang w:val="en-US" w:eastAsia="zh-CN"/>
        </w:rPr>
      </w:pPr>
      <w:r>
        <w:rPr>
          <w:rFonts w:hint="eastAsia" w:ascii="仿宋" w:hAnsi="仿宋" w:eastAsia="仿宋" w:cs="Times New Roman"/>
          <w:sz w:val="30"/>
          <w:szCs w:val="20"/>
          <w:lang w:val="en-US" w:eastAsia="zh-CN"/>
        </w:rPr>
        <w:t>16.</w:t>
      </w:r>
      <w:r>
        <w:rPr>
          <w:rFonts w:hint="default" w:ascii="仿宋" w:hAnsi="仿宋" w:eastAsia="仿宋" w:cs="Times New Roman"/>
          <w:sz w:val="30"/>
          <w:szCs w:val="20"/>
          <w:lang w:val="en-US" w:eastAsia="zh-CN"/>
        </w:rPr>
        <w:t>负责应急管理、安全生产宣传教育和培训工作，组织指导应急管理、安全生产的科学技术研究、推广应用和信息化建设工作。</w:t>
      </w:r>
    </w:p>
    <w:p w14:paraId="5F7F0CB8">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sz w:val="30"/>
          <w:szCs w:val="20"/>
          <w:lang w:val="en-US" w:eastAsia="zh-CN"/>
        </w:rPr>
      </w:pPr>
      <w:r>
        <w:rPr>
          <w:rFonts w:hint="eastAsia" w:ascii="仿宋" w:hAnsi="仿宋" w:eastAsia="仿宋" w:cs="Times New Roman"/>
          <w:sz w:val="30"/>
          <w:szCs w:val="20"/>
          <w:lang w:val="en-US" w:eastAsia="zh-CN"/>
        </w:rPr>
        <w:t>17.完成县委、县政府交办的其他任务。</w:t>
      </w:r>
    </w:p>
    <w:p w14:paraId="0F692429">
      <w:pPr>
        <w:keepNext w:val="0"/>
        <w:keepLines w:val="0"/>
        <w:pageBreakBefore w:val="0"/>
        <w:widowControl/>
        <w:kinsoku/>
        <w:wordWrap/>
        <w:overflowPunct/>
        <w:topLinePunct w:val="0"/>
        <w:autoSpaceDE/>
        <w:autoSpaceDN/>
        <w:bidi w:val="0"/>
        <w:adjustRightInd/>
        <w:snapToGrid/>
        <w:spacing w:before="100" w:beforeLines="0" w:after="100" w:afterLines="0" w:line="580" w:lineRule="exact"/>
        <w:ind w:firstLine="601"/>
        <w:jc w:val="left"/>
        <w:textAlignment w:val="auto"/>
        <w:rPr>
          <w:rFonts w:hint="eastAsia" w:ascii="楷体" w:hAnsi="楷体" w:eastAsia="楷体" w:cs="Times New Roman"/>
          <w:color w:val="auto"/>
          <w:sz w:val="30"/>
          <w:szCs w:val="20"/>
          <w:lang w:val="zh-CN"/>
        </w:rPr>
      </w:pPr>
      <w:r>
        <w:rPr>
          <w:rFonts w:hint="eastAsia" w:ascii="楷体" w:hAnsi="楷体" w:eastAsia="楷体" w:cs="Times New Roman"/>
          <w:color w:val="auto"/>
          <w:sz w:val="30"/>
          <w:szCs w:val="20"/>
          <w:lang w:val="zh-CN"/>
        </w:rPr>
        <w:t>（二）202</w:t>
      </w:r>
      <w:r>
        <w:rPr>
          <w:rFonts w:hint="eastAsia" w:ascii="楷体" w:hAnsi="楷体" w:eastAsia="楷体" w:cs="Times New Roman"/>
          <w:color w:val="auto"/>
          <w:sz w:val="30"/>
          <w:szCs w:val="20"/>
          <w:lang w:val="en-US"/>
        </w:rPr>
        <w:t>3</w:t>
      </w:r>
      <w:r>
        <w:rPr>
          <w:rFonts w:hint="eastAsia" w:ascii="楷体" w:hAnsi="楷体" w:eastAsia="楷体" w:cs="Times New Roman"/>
          <w:color w:val="auto"/>
          <w:sz w:val="30"/>
          <w:szCs w:val="20"/>
          <w:lang w:val="zh-CN"/>
        </w:rPr>
        <w:t>年度重点工作任务</w:t>
      </w:r>
      <w:r>
        <w:rPr>
          <w:rFonts w:hint="eastAsia" w:ascii="楷体" w:hAnsi="楷体" w:eastAsia="楷体" w:cs="Times New Roman"/>
          <w:color w:val="auto"/>
          <w:sz w:val="30"/>
          <w:szCs w:val="20"/>
          <w:lang w:val="en-US"/>
        </w:rPr>
        <w:t>概述</w:t>
      </w:r>
    </w:p>
    <w:p w14:paraId="40EC9F11">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仿宋" w:hAnsi="仿宋" w:eastAsia="仿宋" w:cs="Times New Roman"/>
          <w:sz w:val="30"/>
          <w:szCs w:val="20"/>
          <w:lang w:val="en-US" w:eastAsia="zh-CN"/>
        </w:rPr>
      </w:pPr>
      <w:r>
        <w:rPr>
          <w:rFonts w:hint="default" w:ascii="仿宋" w:hAnsi="仿宋" w:eastAsia="仿宋" w:cs="Times New Roman"/>
          <w:sz w:val="30"/>
          <w:szCs w:val="20"/>
          <w:lang w:val="en-US" w:eastAsia="zh-CN"/>
        </w:rPr>
        <w:t>1.事故情况。</w:t>
      </w:r>
      <w:bookmarkStart w:id="0" w:name="OLE_LINK7"/>
      <w:bookmarkStart w:id="7" w:name="_GoBack"/>
      <w:r>
        <w:rPr>
          <w:rFonts w:hint="default" w:ascii="仿宋" w:hAnsi="仿宋" w:eastAsia="仿宋" w:cs="Times New Roman"/>
          <w:sz w:val="30"/>
          <w:szCs w:val="20"/>
          <w:lang w:val="en-US" w:eastAsia="zh-CN"/>
        </w:rPr>
        <w:t>2023年以来，全县共发生各类生产安全事故9起、死亡9人，事故起数、死亡人数与去年同期持平。全县范围内未发生重大森林火灾、重大食品安全事故，全县未发生重特大生产安全事故，较大生产安全事故得到有效控制，安全生产形势持续稳定向好。</w:t>
      </w:r>
      <w:bookmarkEnd w:id="0"/>
      <w:bookmarkEnd w:id="7"/>
    </w:p>
    <w:p w14:paraId="03C5336E">
      <w:pPr>
        <w:widowControl/>
        <w:spacing w:beforeLines="0" w:afterLines="0" w:line="590" w:lineRule="exact"/>
        <w:ind w:firstLine="600"/>
        <w:jc w:val="both"/>
        <w:rPr>
          <w:rFonts w:hint="default" w:ascii="仿宋" w:hAnsi="仿宋" w:eastAsia="仿宋" w:cs="Times New Roman"/>
          <w:sz w:val="30"/>
          <w:szCs w:val="20"/>
          <w:lang w:val="en-US" w:eastAsia="zh-CN"/>
        </w:rPr>
      </w:pPr>
      <w:r>
        <w:rPr>
          <w:rFonts w:hint="default" w:ascii="仿宋" w:hAnsi="仿宋" w:eastAsia="仿宋" w:cs="Times New Roman"/>
          <w:sz w:val="30"/>
          <w:szCs w:val="20"/>
          <w:lang w:val="en-US" w:eastAsia="zh-CN"/>
        </w:rPr>
        <w:t>2.工作推进情况。</w:t>
      </w:r>
    </w:p>
    <w:p w14:paraId="38C26A4C">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仿宋" w:hAnsi="仿宋" w:eastAsia="仿宋" w:cs="Times New Roman"/>
          <w:sz w:val="30"/>
          <w:szCs w:val="20"/>
          <w:lang w:val="en-US" w:eastAsia="zh-CN"/>
        </w:rPr>
      </w:pPr>
      <w:r>
        <w:rPr>
          <w:rFonts w:hint="default" w:ascii="仿宋" w:hAnsi="仿宋" w:eastAsia="仿宋" w:cs="Times New Roman"/>
          <w:sz w:val="30"/>
          <w:szCs w:val="20"/>
          <w:lang w:val="en-US" w:eastAsia="zh-CN"/>
        </w:rPr>
        <w:t>（1）安全生产方面：</w:t>
      </w:r>
      <w:r>
        <w:rPr>
          <w:rFonts w:hint="default" w:ascii="仿宋" w:hAnsi="仿宋" w:eastAsia="仿宋" w:cs="Times New Roman"/>
          <w:b/>
          <w:bCs/>
          <w:sz w:val="30"/>
          <w:szCs w:val="20"/>
          <w:lang w:val="en-US" w:eastAsia="zh-CN"/>
        </w:rPr>
        <w:t>一是</w:t>
      </w:r>
      <w:r>
        <w:rPr>
          <w:rFonts w:hint="default" w:ascii="仿宋" w:hAnsi="仿宋" w:eastAsia="仿宋" w:cs="Times New Roman"/>
          <w:sz w:val="30"/>
          <w:szCs w:val="20"/>
          <w:lang w:val="en-US" w:eastAsia="zh-CN"/>
        </w:rPr>
        <w:t>扎实开展隐患排查治理。危险化学品领域：开展安全生产经营检查23次，检查行管企业单位101户次，下发现场检查记录90份，下达限期整改指令书3份，排查各类安全隐患83条，已整改83条，整改率100%；与全县25家行管危险化学品经营单位签订年度安全目标责任书，签订率100%，将安全责任落到了实处。烟花爆竹领域：规范烟花爆竹经营行为，消除安全隐患，联合有关部门开展节前烟花爆竹安全检查行动，严厉打击非法和无证经营行为，查处非法经营案件3起，没收非法烟花爆竹：升空烟花52件，爆竹152封，玩具类等烟花455（盒、只、个），并依法对涉案人员进行批评教育和处理。非煤矿山领域：共检查金属非金属矿山、尾矿库24座次，下发现场检查记录24份、限期整改指令书3份，查出一般隐患60项，责令限期整改12项，到期整改率100%，提出建议51条，其中聘请专家检查2座矿山。已完成5座非煤矿山和2座尾矿库“双重预防机制”建设。冶金工贸领域：已出动安全检查车辆43辆次，安检人员102人次，检查重点工贸企业27户，下发现场检查记录40份，责令限期整改指令书20份，整改复查意见书20份，现场处置措施决定书1份，专家意见书6份，排查整治安全隐患147条，其中已整改147条；解决突出问题2项；行政处罚5起，罚款50,000.00元。</w:t>
      </w:r>
      <w:r>
        <w:rPr>
          <w:rFonts w:hint="default" w:ascii="仿宋" w:hAnsi="仿宋" w:eastAsia="仿宋" w:cs="Times New Roman"/>
          <w:b/>
          <w:bCs/>
          <w:sz w:val="30"/>
          <w:szCs w:val="20"/>
          <w:lang w:val="en-US" w:eastAsia="zh-CN"/>
        </w:rPr>
        <w:t>二是</w:t>
      </w:r>
      <w:r>
        <w:rPr>
          <w:rFonts w:hint="default" w:ascii="仿宋" w:hAnsi="仿宋" w:eastAsia="仿宋" w:cs="Times New Roman"/>
          <w:sz w:val="30"/>
          <w:szCs w:val="20"/>
          <w:lang w:val="en-US" w:eastAsia="zh-CN"/>
        </w:rPr>
        <w:t>严格安全生产执法。2023年共办理安全生产违法案件25件，结案24件。共对13家生产经营单位和12名企业责任人实施了行政处罚，累计实施罚款2,750,791.00元。合力推进安全生产行刑衔接工作，2023年共向公安机关移送侦办涉嫌非法经营危险化学品犯罪企业2户，向公安机关移送侦办涉嫌安全生产犯罪3人。</w:t>
      </w:r>
      <w:r>
        <w:rPr>
          <w:rFonts w:hint="default" w:ascii="仿宋" w:hAnsi="仿宋" w:eastAsia="仿宋" w:cs="Times New Roman"/>
          <w:b/>
          <w:bCs/>
          <w:sz w:val="30"/>
          <w:szCs w:val="20"/>
          <w:lang w:val="en-US" w:eastAsia="zh-CN"/>
        </w:rPr>
        <w:t>三是</w:t>
      </w:r>
      <w:r>
        <w:rPr>
          <w:rFonts w:hint="default" w:ascii="仿宋" w:hAnsi="仿宋" w:eastAsia="仿宋" w:cs="Times New Roman"/>
          <w:sz w:val="30"/>
          <w:szCs w:val="20"/>
          <w:lang w:val="en-US" w:eastAsia="zh-CN"/>
        </w:rPr>
        <w:t>依法办理许可事项。2023年共办理许可事项14件，其中</w:t>
      </w:r>
      <w:r>
        <w:rPr>
          <w:rFonts w:hint="eastAsia" w:ascii="仿宋" w:hAnsi="仿宋" w:eastAsia="仿宋" w:cs="Times New Roman"/>
          <w:sz w:val="30"/>
          <w:szCs w:val="20"/>
          <w:lang w:val="en-US" w:eastAsia="zh-CN"/>
        </w:rPr>
        <w:t>办理</w:t>
      </w:r>
      <w:r>
        <w:rPr>
          <w:rFonts w:hint="default" w:ascii="仿宋" w:hAnsi="仿宋" w:eastAsia="仿宋" w:cs="Times New Roman"/>
          <w:sz w:val="30"/>
          <w:szCs w:val="20"/>
          <w:lang w:val="en-US" w:eastAsia="zh-CN"/>
        </w:rPr>
        <w:t>烟花爆竹经营（零售）许可6件、危险化学品经营许可证核发3件、危险化学品建设项目安全条件审查1件、危险化学品建设项目安全设施设计审查1件、第二第三类非药品类易制毒化学品经营备案2件、金属台炼建设项目安全设施设计审查1件。四是加强宣传教育。以“防灾减灾日”、“安全生产月”为契机，开展专题宣讲62场、设立咨询服务台82个，发放宣传单18000余份、购物袋5000份、杯子600个，接受群众咨询8500余人次；积极开展普法强基补短板“法律进机关”活动；充分利用好到企业开展监督检查、专项行动等时机，按照“谁执法、谁普法”的原则，认真做好法治宣传工作，推动普法强基补短板专项行动走深走实。</w:t>
      </w:r>
    </w:p>
    <w:p w14:paraId="1B0684F6">
      <w:pPr>
        <w:widowControl/>
        <w:spacing w:beforeLines="0" w:afterLines="0" w:line="590" w:lineRule="exact"/>
        <w:ind w:firstLine="600"/>
        <w:jc w:val="both"/>
        <w:rPr>
          <w:rFonts w:hint="default" w:ascii="仿宋" w:hAnsi="仿宋" w:eastAsia="仿宋" w:cs="Times New Roman"/>
          <w:sz w:val="30"/>
          <w:szCs w:val="20"/>
          <w:lang w:val="en-US" w:eastAsia="zh-CN"/>
        </w:rPr>
      </w:pPr>
      <w:r>
        <w:rPr>
          <w:rFonts w:hint="default" w:ascii="仿宋" w:hAnsi="仿宋" w:eastAsia="仿宋" w:cs="Times New Roman"/>
          <w:sz w:val="30"/>
          <w:szCs w:val="20"/>
          <w:lang w:val="en-US" w:eastAsia="zh-CN"/>
        </w:rPr>
        <w:t>（2）森林草原防灭火方面：</w:t>
      </w:r>
      <w:r>
        <w:rPr>
          <w:rFonts w:hint="default" w:ascii="仿宋" w:hAnsi="仿宋" w:eastAsia="仿宋" w:cs="Times New Roman"/>
          <w:b/>
          <w:bCs/>
          <w:sz w:val="30"/>
          <w:szCs w:val="20"/>
          <w:lang w:val="en-US" w:eastAsia="zh-CN"/>
        </w:rPr>
        <w:t>一是</w:t>
      </w:r>
      <w:r>
        <w:rPr>
          <w:rFonts w:hint="default" w:ascii="仿宋" w:hAnsi="仿宋" w:eastAsia="仿宋" w:cs="Times New Roman"/>
          <w:sz w:val="30"/>
          <w:szCs w:val="20"/>
          <w:lang w:val="en-US" w:eastAsia="zh-CN"/>
        </w:rPr>
        <w:t>压实工作责任。县森林草原防灭火指挥部办公室充分发挥牵头抓总作用，深刻汲取“4·11”森林火灾教训，压实属地管理责任、行业管理责任和单位主体责任，扣紧防救责任链条，以全面推行林长制为抓手，落细落实网格化管理，强化秋冬季森林草原防灭火工作安排部署，全面加强工作督导和检查。签订森林防灭火责任书74924份、签订率达100%。65岁以上老人豋记造册22027人，签订责任书21647份，联防协议45份，森林草原防灭火任务和承诺书871份，干部职工、党员同志清明节森林草原防火承诺书2315份。</w:t>
      </w:r>
      <w:r>
        <w:rPr>
          <w:rFonts w:hint="default" w:ascii="仿宋" w:hAnsi="仿宋" w:eastAsia="仿宋" w:cs="Times New Roman"/>
          <w:b/>
          <w:bCs/>
          <w:sz w:val="30"/>
          <w:szCs w:val="20"/>
          <w:lang w:val="en-US" w:eastAsia="zh-CN"/>
        </w:rPr>
        <w:t>二是</w:t>
      </w:r>
      <w:r>
        <w:rPr>
          <w:rFonts w:hint="default" w:ascii="仿宋" w:hAnsi="仿宋" w:eastAsia="仿宋" w:cs="Times New Roman"/>
          <w:sz w:val="30"/>
          <w:szCs w:val="20"/>
          <w:lang w:val="en-US" w:eastAsia="zh-CN"/>
        </w:rPr>
        <w:t>强化应急准备。防火期实行联合值（带）班制度，按照职责分工，通力协作，加强监测预警和联防联控，持续加大防灭火基础设施和队伍建设投入，全县建成专业、半专业救援队伍11支303人，组建民兵应急队伍1支120人，出动增援外县3次，出动45人次；筹措投入森林草原防灭火经费5,660,900.00元，积极协调解决全县护林员工资拖欠问题，不断提升全县森林草原火灾综合防控能力。</w:t>
      </w:r>
      <w:r>
        <w:rPr>
          <w:rFonts w:hint="default" w:ascii="仿宋" w:hAnsi="仿宋" w:eastAsia="仿宋" w:cs="Times New Roman"/>
          <w:b/>
          <w:bCs/>
          <w:sz w:val="30"/>
          <w:szCs w:val="20"/>
          <w:lang w:val="en-US" w:eastAsia="zh-CN"/>
        </w:rPr>
        <w:t>三是</w:t>
      </w:r>
      <w:r>
        <w:rPr>
          <w:rFonts w:hint="default" w:ascii="仿宋" w:hAnsi="仿宋" w:eastAsia="仿宋" w:cs="Times New Roman"/>
          <w:sz w:val="30"/>
          <w:szCs w:val="20"/>
          <w:lang w:val="en-US" w:eastAsia="zh-CN"/>
        </w:rPr>
        <w:t>强化综合防控。加强野外火源管控，尤其农事用火、祭祀用火等源头管控，通过增设检查站（卡）点、加派巡山护林人员、加大武装巡护力度、加强重点区域和重点时段管控、开展专项排查整治、实施计划烧除，有效清理清除了火险隐患，最大限度降低火灾风险。将森林防火宣传语录制成方言、哈尼语、彝语等版本，在巡山过程中不间断播放。充分运用应急广播、电视、微信、标语、横幅等，加大法律法规宣传教育力度，大力推广和使用“防火码”，提升全民防火意识。发放宣传手册7000余份、张贴通告4000余份。</w:t>
      </w:r>
    </w:p>
    <w:p w14:paraId="58DD5359">
      <w:pPr>
        <w:widowControl/>
        <w:spacing w:beforeLines="0" w:afterLines="0" w:line="590" w:lineRule="exact"/>
        <w:ind w:firstLine="600"/>
        <w:jc w:val="both"/>
        <w:rPr>
          <w:rFonts w:hint="default" w:ascii="仿宋" w:hAnsi="仿宋" w:eastAsia="仿宋" w:cs="Times New Roman"/>
          <w:sz w:val="30"/>
          <w:szCs w:val="20"/>
          <w:lang w:val="en-US" w:eastAsia="zh-CN"/>
        </w:rPr>
      </w:pPr>
      <w:r>
        <w:rPr>
          <w:rFonts w:hint="default" w:ascii="仿宋" w:hAnsi="仿宋" w:eastAsia="仿宋" w:cs="Times New Roman"/>
          <w:color w:val="auto"/>
          <w:sz w:val="30"/>
          <w:szCs w:val="20"/>
          <w:lang w:val="en-US" w:eastAsia="zh-CN"/>
        </w:rPr>
        <w:t>（3）防汛抗旱方面：</w:t>
      </w:r>
      <w:r>
        <w:rPr>
          <w:rFonts w:hint="default" w:ascii="仿宋" w:hAnsi="仿宋" w:eastAsia="仿宋" w:cs="Times New Roman"/>
          <w:b/>
          <w:bCs/>
          <w:sz w:val="30"/>
          <w:szCs w:val="20"/>
          <w:lang w:val="en-US" w:eastAsia="zh-CN"/>
        </w:rPr>
        <w:t>一是</w:t>
      </w:r>
      <w:r>
        <w:rPr>
          <w:rFonts w:hint="default" w:ascii="仿宋" w:hAnsi="仿宋" w:eastAsia="仿宋" w:cs="Times New Roman"/>
          <w:sz w:val="30"/>
          <w:szCs w:val="20"/>
          <w:lang w:val="en-US" w:eastAsia="zh-CN"/>
        </w:rPr>
        <w:t>认真履职迅速落实。县防汛抗旱指挥部办公室充分发挥牵头抓总作用，统筹协调全面的防汛抗旱工作，对灾情和工作动态及时统计，强化会商研判，制定应对措施，及时发布预警信息。积极联系协调各部门、各乡镇（街道）开展防汛抗旱行动，下沉一线查看灾情，发动群众自救互救。提前谋划，切实做好防汛度汛工作。入汛以来</w:t>
      </w:r>
      <w:r>
        <w:rPr>
          <w:rFonts w:hint="eastAsia" w:ascii="仿宋" w:hAnsi="仿宋" w:eastAsia="仿宋" w:cs="Times New Roman"/>
          <w:sz w:val="30"/>
          <w:szCs w:val="20"/>
          <w:lang w:val="en-US" w:eastAsia="zh-CN"/>
        </w:rPr>
        <w:t>，</w:t>
      </w:r>
      <w:r>
        <w:rPr>
          <w:rFonts w:hint="default" w:ascii="仿宋" w:hAnsi="仿宋" w:eastAsia="仿宋" w:cs="Times New Roman"/>
          <w:sz w:val="30"/>
          <w:szCs w:val="20"/>
          <w:lang w:val="en-US" w:eastAsia="zh-CN"/>
        </w:rPr>
        <w:t>组织会商调度23次，收听收看省、市相关工作会议18次，并及时贯彻落实会议精神和研究部署。</w:t>
      </w:r>
      <w:r>
        <w:rPr>
          <w:rFonts w:hint="default" w:ascii="仿宋" w:hAnsi="仿宋" w:eastAsia="仿宋" w:cs="Times New Roman"/>
          <w:b/>
          <w:bCs/>
          <w:sz w:val="30"/>
          <w:szCs w:val="20"/>
          <w:lang w:val="en-US" w:eastAsia="zh-CN"/>
        </w:rPr>
        <w:t>二是</w:t>
      </w:r>
      <w:r>
        <w:rPr>
          <w:rFonts w:hint="default" w:ascii="仿宋" w:hAnsi="仿宋" w:eastAsia="仿宋" w:cs="Times New Roman"/>
          <w:sz w:val="30"/>
          <w:szCs w:val="20"/>
          <w:lang w:val="en-US" w:eastAsia="zh-CN"/>
        </w:rPr>
        <w:t>开展风险隐患排查整治。按照“汛期不过、检查不停、整改不止”的要求，先后组织开展三轮针对水库坝塘、江河堤防、山洪和地质灾害隐患点、城市地下空间和易涝点、施工工地等重要设施、重点区域部位的隐患排查整治，压实监测和管控责任。实时研判各村组山洪、地质灾害等情况，加强非煤矿山、水库、电站、堤防、在建工地、旅游景区、县城低洼地、学校等重点部位和薄弱环节巡查排险整治，做到动态管控、闭环管理。2023年全县共排查出风险隐患233个、整改消除233个，整改率达100%。</w:t>
      </w:r>
      <w:r>
        <w:rPr>
          <w:rFonts w:hint="default" w:ascii="仿宋" w:hAnsi="仿宋" w:eastAsia="仿宋" w:cs="Times New Roman"/>
          <w:b/>
          <w:bCs/>
          <w:sz w:val="30"/>
          <w:szCs w:val="20"/>
          <w:lang w:val="en-US" w:eastAsia="zh-CN"/>
        </w:rPr>
        <w:t>三是</w:t>
      </w:r>
      <w:r>
        <w:rPr>
          <w:rFonts w:hint="default" w:ascii="仿宋" w:hAnsi="仿宋" w:eastAsia="仿宋" w:cs="Times New Roman"/>
          <w:sz w:val="30"/>
          <w:szCs w:val="20"/>
          <w:lang w:val="en-US" w:eastAsia="zh-CN"/>
        </w:rPr>
        <w:t>强化防汛抗旱应急准备。及时统计救援队伍和应急物资管理使用情况，确保救灾物资在应急情况下能够调得出、用得上。5月6日，开展2023年元江县防汛应急处置桌面推演。</w:t>
      </w:r>
    </w:p>
    <w:p w14:paraId="53550DAE">
      <w:pPr>
        <w:widowControl/>
        <w:spacing w:beforeLines="0" w:afterLines="0" w:line="590" w:lineRule="exact"/>
        <w:ind w:firstLine="600"/>
        <w:jc w:val="both"/>
        <w:rPr>
          <w:rFonts w:hint="default" w:ascii="仿宋" w:hAnsi="仿宋" w:eastAsia="仿宋" w:cs="Times New Roman"/>
          <w:color w:val="auto"/>
          <w:sz w:val="30"/>
          <w:szCs w:val="20"/>
          <w:lang w:val="en-US" w:eastAsia="zh-CN"/>
        </w:rPr>
      </w:pPr>
      <w:r>
        <w:rPr>
          <w:rFonts w:hint="default" w:ascii="仿宋" w:hAnsi="仿宋" w:eastAsia="仿宋" w:cs="Times New Roman"/>
          <w:color w:val="auto"/>
          <w:sz w:val="30"/>
          <w:szCs w:val="20"/>
          <w:lang w:val="en-US" w:eastAsia="zh-CN"/>
        </w:rPr>
        <w:t>（4）抗震救灾方面：</w:t>
      </w:r>
      <w:r>
        <w:rPr>
          <w:rFonts w:hint="default" w:ascii="仿宋" w:hAnsi="仿宋" w:eastAsia="仿宋" w:cs="Times New Roman"/>
          <w:b/>
          <w:bCs/>
          <w:color w:val="auto"/>
          <w:sz w:val="30"/>
          <w:szCs w:val="20"/>
          <w:lang w:val="en-US" w:eastAsia="zh-CN"/>
        </w:rPr>
        <w:t>一是</w:t>
      </w:r>
      <w:r>
        <w:rPr>
          <w:rFonts w:hint="default" w:ascii="仿宋" w:hAnsi="仿宋" w:eastAsia="仿宋" w:cs="Times New Roman"/>
          <w:color w:val="auto"/>
          <w:sz w:val="30"/>
          <w:szCs w:val="20"/>
          <w:lang w:val="en-US" w:eastAsia="zh-CN"/>
        </w:rPr>
        <w:t>扛实防震减灾救灾责任。县抗震救灾指挥部办公室认真学习贯彻省市县会议精神，抓实抓细地震灾害防范应对各项工作。2023年3月，对照市级，调整县抗震救灾指挥部办公室主任由县委常委、常务副县长兼任。以省市地震灾害防范应对准备工作检查为契机，由县应急管理局联合县防震减灾局、县住房和城乡建设局等对各乡镇（街道）、县级有关部门开展地震灾害防范应对准备工作实地检查指导。</w:t>
      </w:r>
      <w:r>
        <w:rPr>
          <w:rFonts w:hint="default" w:ascii="仿宋" w:hAnsi="仿宋" w:eastAsia="仿宋" w:cs="Times New Roman"/>
          <w:b/>
          <w:bCs/>
          <w:color w:val="auto"/>
          <w:sz w:val="30"/>
          <w:szCs w:val="20"/>
          <w:lang w:val="en-US" w:eastAsia="zh-CN"/>
        </w:rPr>
        <w:t>二是</w:t>
      </w:r>
      <w:r>
        <w:rPr>
          <w:rFonts w:hint="default" w:ascii="仿宋" w:hAnsi="仿宋" w:eastAsia="仿宋" w:cs="Times New Roman"/>
          <w:color w:val="auto"/>
          <w:sz w:val="30"/>
          <w:szCs w:val="20"/>
          <w:lang w:val="en-US" w:eastAsia="zh-CN"/>
        </w:rPr>
        <w:t>加强地震应急防范准备工作。完善地震应急预案，修改印发《元江县一般及以上地震灾害应急处置工作方案（第二版）》，不断整理完善抗震救灾重要信息表册，持续开展好地震应急演练和应急救援第一响应人培训。3月2日开展元江县2023年地震应急实战演练，5月19日开展元江县2023年地震应急“第一响应人”培训。强化救灾物资储备，县应急管理局补充100,000.00元储备物资。6月20日召开卫星电话配发暨使用管理培训会，实现全县山区村（社区）全覆盖，有效解决极端灾害条件下应急通讯“最后一公里”问题。</w:t>
      </w:r>
      <w:r>
        <w:rPr>
          <w:rFonts w:hint="default" w:ascii="仿宋" w:hAnsi="仿宋" w:eastAsia="仿宋" w:cs="Times New Roman"/>
          <w:b/>
          <w:bCs/>
          <w:color w:val="auto"/>
          <w:sz w:val="30"/>
          <w:szCs w:val="20"/>
          <w:lang w:val="en-US" w:eastAsia="zh-CN"/>
        </w:rPr>
        <w:t>三是</w:t>
      </w:r>
      <w:r>
        <w:rPr>
          <w:rFonts w:hint="default" w:ascii="仿宋" w:hAnsi="仿宋" w:eastAsia="仿宋" w:cs="Times New Roman"/>
          <w:color w:val="auto"/>
          <w:sz w:val="30"/>
          <w:szCs w:val="20"/>
          <w:lang w:val="en-US" w:eastAsia="zh-CN"/>
        </w:rPr>
        <w:t>提升地震灾害风险防范能力。认真贯彻落实《中华人民共和国防震减灾法》，加强防震减灾科普宣传，结合“5·12”全国防灾减灾日、防震减灾宣传日、“安全生产宣传月”等时段，多渠道开展防震减灾知识“六进”活动；加大基层组织培训力度，提升公众防震减灾意识和应急避险、自救互救技能。年内，全县56所中小学校、10个乡镇（街道）、幼儿园、医院、客运站、政务服务大厅等人员密集场所，共安装76套地震预警发布终端设备，极大提升了全县地震预警能力和科普宣传效果。</w:t>
      </w:r>
    </w:p>
    <w:p w14:paraId="22DA64A2">
      <w:pPr>
        <w:widowControl/>
        <w:spacing w:beforeLines="0" w:afterLines="0" w:line="590" w:lineRule="exact"/>
        <w:ind w:firstLine="600"/>
        <w:jc w:val="both"/>
        <w:rPr>
          <w:rFonts w:hint="default" w:ascii="仿宋" w:hAnsi="仿宋" w:eastAsia="仿宋" w:cs="Times New Roman"/>
          <w:color w:val="auto"/>
          <w:sz w:val="30"/>
          <w:szCs w:val="20"/>
          <w:lang w:val="en-US" w:eastAsia="zh-CN"/>
        </w:rPr>
      </w:pPr>
      <w:r>
        <w:rPr>
          <w:rFonts w:hint="default" w:ascii="仿宋" w:hAnsi="仿宋" w:eastAsia="仿宋" w:cs="Times New Roman"/>
          <w:color w:val="auto"/>
          <w:sz w:val="30"/>
          <w:szCs w:val="20"/>
          <w:lang w:val="en-US" w:eastAsia="zh-CN"/>
        </w:rPr>
        <w:t>（5）减灾救灾方面：</w:t>
      </w:r>
      <w:r>
        <w:rPr>
          <w:rFonts w:hint="default" w:ascii="仿宋" w:hAnsi="仿宋" w:eastAsia="仿宋" w:cs="Times New Roman"/>
          <w:b/>
          <w:bCs/>
          <w:color w:val="auto"/>
          <w:sz w:val="30"/>
          <w:szCs w:val="20"/>
          <w:lang w:val="en-US" w:eastAsia="zh-CN"/>
        </w:rPr>
        <w:t>一是</w:t>
      </w:r>
      <w:r>
        <w:rPr>
          <w:rFonts w:hint="default" w:ascii="仿宋" w:hAnsi="仿宋" w:eastAsia="仿宋" w:cs="Times New Roman"/>
          <w:color w:val="auto"/>
          <w:sz w:val="30"/>
          <w:szCs w:val="20"/>
          <w:lang w:val="en-US" w:eastAsia="zh-CN"/>
        </w:rPr>
        <w:t>做好灾情核报工作。针对旱涝造成的灾害影响，及时开展查灾核灾、上报灾情工作。积极参加全市灾情统计上报工作业务培训，加强与县级相关行业部门数据共享，督促指导各乡镇（街道）及时统计上报灾情。截至目前，通过系统上报低温冷冻、干旱、风雹、洪涝灾害灾情共10次，受灾53838人</w:t>
      </w:r>
      <w:r>
        <w:rPr>
          <w:rFonts w:hint="eastAsia" w:ascii="仿宋" w:hAnsi="仿宋" w:eastAsia="仿宋" w:cs="Times New Roman"/>
          <w:color w:val="auto"/>
          <w:sz w:val="30"/>
          <w:szCs w:val="20"/>
          <w:lang w:val="en-US" w:eastAsia="zh-CN"/>
        </w:rPr>
        <w:t>，</w:t>
      </w:r>
      <w:r>
        <w:rPr>
          <w:rFonts w:hint="default" w:ascii="仿宋" w:hAnsi="仿宋" w:eastAsia="仿宋" w:cs="Times New Roman"/>
          <w:color w:val="auto"/>
          <w:sz w:val="30"/>
          <w:szCs w:val="20"/>
          <w:lang w:val="en-US" w:eastAsia="zh-CN"/>
        </w:rPr>
        <w:t>农作物受灾面积5706.92公顷</w:t>
      </w:r>
      <w:r>
        <w:rPr>
          <w:rFonts w:hint="eastAsia" w:ascii="仿宋" w:hAnsi="仿宋" w:eastAsia="仿宋" w:cs="Times New Roman"/>
          <w:color w:val="auto"/>
          <w:sz w:val="30"/>
          <w:szCs w:val="20"/>
          <w:lang w:val="en-US" w:eastAsia="zh-CN"/>
        </w:rPr>
        <w:t>，</w:t>
      </w:r>
      <w:r>
        <w:rPr>
          <w:rFonts w:hint="default" w:ascii="仿宋" w:hAnsi="仿宋" w:eastAsia="仿宋" w:cs="Times New Roman"/>
          <w:color w:val="auto"/>
          <w:sz w:val="30"/>
          <w:szCs w:val="20"/>
          <w:lang w:val="en-US" w:eastAsia="zh-CN"/>
        </w:rPr>
        <w:t>直接经济损失69,915,700.00元。</w:t>
      </w:r>
      <w:r>
        <w:rPr>
          <w:rFonts w:hint="default" w:ascii="仿宋" w:hAnsi="仿宋" w:eastAsia="仿宋" w:cs="Times New Roman"/>
          <w:b/>
          <w:bCs/>
          <w:color w:val="auto"/>
          <w:sz w:val="30"/>
          <w:szCs w:val="20"/>
          <w:lang w:val="en-US" w:eastAsia="zh-CN"/>
        </w:rPr>
        <w:t>二是</w:t>
      </w:r>
      <w:r>
        <w:rPr>
          <w:rFonts w:hint="default" w:ascii="仿宋" w:hAnsi="仿宋" w:eastAsia="仿宋" w:cs="Times New Roman"/>
          <w:color w:val="auto"/>
          <w:sz w:val="30"/>
          <w:szCs w:val="20"/>
          <w:lang w:val="en-US" w:eastAsia="zh-CN"/>
        </w:rPr>
        <w:t>强化救灾物资管理。发放2022-2023年中央级冬春救灾资金2,497,000.00元，全县共救助19500人；省级救灾物资棉被800床、大衣580件、衣服300套，共救助1518人；省级冬春救助资金140,000.00元，用于采购棉被554床、温带大衣554件，正在组织各乡镇（街道）发放物资。6月26日至29日，县应急管理局联合县发改局对全县9个物资储备库（1个县级库和8个乡镇级储备库）的物资储备、管理使用情况进行检查。</w:t>
      </w:r>
      <w:r>
        <w:rPr>
          <w:rFonts w:hint="default" w:ascii="仿宋" w:hAnsi="仿宋" w:eastAsia="仿宋" w:cs="Times New Roman"/>
          <w:b/>
          <w:bCs/>
          <w:color w:val="auto"/>
          <w:sz w:val="30"/>
          <w:szCs w:val="20"/>
          <w:lang w:val="en-US" w:eastAsia="zh-CN"/>
        </w:rPr>
        <w:t>三是</w:t>
      </w:r>
      <w:r>
        <w:rPr>
          <w:rFonts w:hint="default" w:ascii="仿宋" w:hAnsi="仿宋" w:eastAsia="仿宋" w:cs="Times New Roman"/>
          <w:color w:val="auto"/>
          <w:sz w:val="30"/>
          <w:szCs w:val="20"/>
          <w:lang w:val="en-US" w:eastAsia="zh-CN"/>
        </w:rPr>
        <w:t>继续开展农房保险工作。6月20日，组织召开2023年全县农房保险工作会议，进行具体工作部署安排。2023年度</w:t>
      </w:r>
      <w:r>
        <w:rPr>
          <w:rFonts w:hint="eastAsia" w:ascii="仿宋" w:hAnsi="仿宋" w:eastAsia="仿宋" w:cs="Times New Roman"/>
          <w:color w:val="auto"/>
          <w:sz w:val="30"/>
          <w:szCs w:val="20"/>
          <w:lang w:val="en-US" w:eastAsia="zh-CN"/>
        </w:rPr>
        <w:t>农房保险</w:t>
      </w:r>
      <w:r>
        <w:rPr>
          <w:rFonts w:hint="default" w:ascii="仿宋" w:hAnsi="仿宋" w:eastAsia="仿宋" w:cs="Times New Roman"/>
          <w:color w:val="auto"/>
          <w:sz w:val="30"/>
          <w:szCs w:val="20"/>
          <w:lang w:val="en-US" w:eastAsia="zh-CN"/>
        </w:rPr>
        <w:t>共参保20408户，参保率58.6%。</w:t>
      </w:r>
      <w:r>
        <w:rPr>
          <w:rFonts w:hint="default" w:ascii="仿宋" w:hAnsi="仿宋" w:eastAsia="仿宋" w:cs="Times New Roman"/>
          <w:b/>
          <w:bCs/>
          <w:color w:val="auto"/>
          <w:sz w:val="30"/>
          <w:szCs w:val="20"/>
          <w:lang w:val="en-US" w:eastAsia="zh-CN"/>
        </w:rPr>
        <w:t>四是</w:t>
      </w:r>
      <w:r>
        <w:rPr>
          <w:rFonts w:hint="default" w:ascii="仿宋" w:hAnsi="仿宋" w:eastAsia="仿宋" w:cs="Times New Roman"/>
          <w:color w:val="auto"/>
          <w:sz w:val="30"/>
          <w:szCs w:val="20"/>
          <w:lang w:val="en-US" w:eastAsia="zh-CN"/>
        </w:rPr>
        <w:t>积极组织防灾减灾活动。县减灾委员会办公室以“5·12”全国防灾减灾日、国际减灾日活动为契机，制定具有针对性和操作性、内容和形式丰富的活动方案，积极组织开展集中宣传、微信平台推送、应急演练等活动，增强广大群众防灾减灾意识和提高群众灾害防范能力。</w:t>
      </w:r>
    </w:p>
    <w:p w14:paraId="1CD85DB7">
      <w:pPr>
        <w:widowControl/>
        <w:spacing w:beforeLines="0" w:afterLines="0" w:line="590" w:lineRule="exact"/>
        <w:ind w:firstLine="600"/>
        <w:jc w:val="both"/>
        <w:rPr>
          <w:rFonts w:hint="default" w:ascii="仿宋" w:hAnsi="仿宋" w:eastAsia="仿宋" w:cs="Times New Roman"/>
          <w:color w:val="auto"/>
          <w:sz w:val="30"/>
          <w:szCs w:val="20"/>
          <w:lang w:val="en-US" w:eastAsia="zh-CN"/>
        </w:rPr>
      </w:pPr>
      <w:r>
        <w:rPr>
          <w:rFonts w:hint="default" w:ascii="仿宋" w:hAnsi="仿宋" w:eastAsia="仿宋" w:cs="Times New Roman"/>
          <w:color w:val="auto"/>
          <w:sz w:val="30"/>
          <w:szCs w:val="20"/>
          <w:lang w:val="en-US" w:eastAsia="zh-CN"/>
        </w:rPr>
        <w:t>（6）应急值班值守方面：坚决执行新形势下值班工作纪律要求，制定印发《元江县应急管理局值班值守制度》，严格落实领导带班和24小时值班值守制度，全面做好春节、两会、清明、端午、中秋国庆“双节”等重要时段的应急值班工作，确保信息渠道和应急通讯联络畅通，发现险情及时应对并高效处置。第一时间收集水文、气象信息，及时向有</w:t>
      </w:r>
      <w:r>
        <w:rPr>
          <w:rFonts w:hint="eastAsia" w:ascii="仿宋" w:hAnsi="仿宋" w:eastAsia="仿宋" w:cs="Times New Roman"/>
          <w:color w:val="auto"/>
          <w:sz w:val="30"/>
          <w:szCs w:val="20"/>
          <w:lang w:val="en-US" w:eastAsia="zh-CN"/>
        </w:rPr>
        <w:t>关</w:t>
      </w:r>
      <w:r>
        <w:rPr>
          <w:rFonts w:hint="default" w:ascii="仿宋" w:hAnsi="仿宋" w:eastAsia="仿宋" w:cs="Times New Roman"/>
          <w:color w:val="auto"/>
          <w:sz w:val="30"/>
          <w:szCs w:val="20"/>
          <w:lang w:val="en-US" w:eastAsia="zh-CN"/>
        </w:rPr>
        <w:t>部门下达通知和预警，确保雨情、水情、汛情和防汛调度指令及时准确上传下达。严格执行“一接三即”制度和“1262”精细化预报与响应联动机制，落实预警“叫应”机制，第一时间对降雨点乡镇（街道）进行电话调度，同步督查乡镇（街道）、村组人员在岗值班值守情况。</w:t>
      </w:r>
    </w:p>
    <w:p w14:paraId="6683B362">
      <w:pPr>
        <w:widowControl/>
        <w:spacing w:beforeLines="0" w:afterLines="0" w:line="590" w:lineRule="exact"/>
        <w:ind w:firstLine="600"/>
        <w:jc w:val="both"/>
        <w:rPr>
          <w:rFonts w:hint="eastAsia" w:ascii="Times New Roman" w:hAnsi="Times New Roman" w:eastAsia="Times New Roman" w:cs="Times New Roman"/>
          <w:sz w:val="30"/>
          <w:szCs w:val="20"/>
          <w:lang w:val="zh-CN"/>
        </w:rPr>
      </w:pPr>
      <w:r>
        <w:rPr>
          <w:rFonts w:hint="eastAsia" w:ascii="黑体" w:hAnsi="黑体" w:eastAsia="黑体" w:cs="Times New Roman"/>
          <w:sz w:val="30"/>
          <w:szCs w:val="20"/>
          <w:lang w:val="zh-CN"/>
        </w:rPr>
        <w:t>二、部门基本情况</w:t>
      </w:r>
    </w:p>
    <w:p w14:paraId="09B4902A">
      <w:pPr>
        <w:keepNext w:val="0"/>
        <w:keepLines w:val="0"/>
        <w:pageBreakBefore w:val="0"/>
        <w:widowControl/>
        <w:kinsoku/>
        <w:wordWrap/>
        <w:overflowPunct/>
        <w:topLinePunct w:val="0"/>
        <w:autoSpaceDE/>
        <w:autoSpaceDN/>
        <w:bidi w:val="0"/>
        <w:adjustRightInd/>
        <w:snapToGrid/>
        <w:spacing w:before="100" w:beforeLines="0" w:after="100" w:afterLines="0" w:line="580" w:lineRule="exact"/>
        <w:ind w:firstLine="601"/>
        <w:jc w:val="left"/>
        <w:textAlignment w:val="auto"/>
        <w:rPr>
          <w:rFonts w:hint="eastAsia" w:ascii="楷体" w:hAnsi="楷体" w:eastAsia="楷体" w:cs="Times New Roman"/>
          <w:color w:val="auto"/>
          <w:sz w:val="30"/>
          <w:szCs w:val="20"/>
          <w:lang w:val="en-US"/>
        </w:rPr>
      </w:pPr>
      <w:r>
        <w:rPr>
          <w:rFonts w:hint="eastAsia" w:ascii="楷体" w:hAnsi="楷体" w:eastAsia="楷体" w:cs="Times New Roman"/>
          <w:color w:val="auto"/>
          <w:sz w:val="30"/>
          <w:szCs w:val="20"/>
          <w:lang w:val="zh-CN"/>
        </w:rPr>
        <w:t>（一）</w:t>
      </w:r>
      <w:r>
        <w:rPr>
          <w:rFonts w:hint="eastAsia" w:ascii="楷体" w:hAnsi="楷体" w:eastAsia="楷体" w:cs="Times New Roman"/>
          <w:color w:val="auto"/>
          <w:sz w:val="30"/>
          <w:szCs w:val="20"/>
          <w:lang w:val="en-US"/>
        </w:rPr>
        <w:t>机构设置情况</w:t>
      </w:r>
    </w:p>
    <w:p w14:paraId="021C4F31">
      <w:pPr>
        <w:widowControl/>
        <w:spacing w:beforeLines="0" w:afterLines="0" w:line="590" w:lineRule="exact"/>
        <w:ind w:firstLine="600"/>
        <w:jc w:val="both"/>
        <w:rPr>
          <w:rFonts w:hint="eastAsia" w:ascii="仿宋" w:hAnsi="仿宋" w:eastAsia="仿宋" w:cs="Times New Roman"/>
          <w:color w:val="auto"/>
          <w:sz w:val="30"/>
          <w:szCs w:val="20"/>
          <w:lang w:val="en-US" w:eastAsia="zh-CN"/>
        </w:rPr>
      </w:pPr>
      <w:r>
        <w:rPr>
          <w:rFonts w:hint="default" w:ascii="仿宋" w:hAnsi="仿宋" w:eastAsia="仿宋" w:cs="Times New Roman"/>
          <w:color w:val="auto"/>
          <w:sz w:val="30"/>
          <w:szCs w:val="20"/>
          <w:lang w:val="en-US" w:eastAsia="zh-CN"/>
        </w:rPr>
        <w:t>我部门共设置</w:t>
      </w:r>
      <w:r>
        <w:rPr>
          <w:rFonts w:hint="eastAsia" w:ascii="仿宋" w:hAnsi="仿宋" w:eastAsia="仿宋" w:cs="Times New Roman"/>
          <w:color w:val="auto"/>
          <w:sz w:val="30"/>
          <w:szCs w:val="20"/>
          <w:lang w:val="en-US" w:eastAsia="zh-CN"/>
        </w:rPr>
        <w:t>5</w:t>
      </w:r>
      <w:r>
        <w:rPr>
          <w:rFonts w:hint="default" w:ascii="仿宋" w:hAnsi="仿宋" w:eastAsia="仿宋" w:cs="Times New Roman"/>
          <w:color w:val="auto"/>
          <w:sz w:val="30"/>
          <w:szCs w:val="20"/>
          <w:lang w:val="en-US" w:eastAsia="zh-CN"/>
        </w:rPr>
        <w:t>个内设机构，包括：办公室、基础管理股、安全生产综合协调股、工矿商贸监督管理股、危险化学品监督管理股。</w:t>
      </w:r>
      <w:r>
        <w:rPr>
          <w:rFonts w:hint="eastAsia" w:ascii="仿宋" w:hAnsi="仿宋" w:eastAsia="仿宋" w:cs="Times New Roman"/>
          <w:color w:val="auto"/>
          <w:sz w:val="30"/>
          <w:szCs w:val="20"/>
          <w:lang w:val="en-US" w:eastAsia="zh-CN"/>
        </w:rPr>
        <w:t>所</w:t>
      </w:r>
      <w:r>
        <w:rPr>
          <w:rFonts w:hint="default" w:ascii="仿宋" w:hAnsi="仿宋" w:eastAsia="仿宋" w:cs="Times New Roman"/>
          <w:color w:val="auto"/>
          <w:sz w:val="30"/>
          <w:szCs w:val="20"/>
          <w:lang w:val="en-US" w:eastAsia="zh-CN"/>
        </w:rPr>
        <w:t>属单位</w:t>
      </w:r>
      <w:r>
        <w:rPr>
          <w:rFonts w:hint="eastAsia" w:ascii="仿宋" w:hAnsi="仿宋" w:eastAsia="仿宋" w:cs="Times New Roman"/>
          <w:color w:val="auto"/>
          <w:sz w:val="30"/>
          <w:szCs w:val="20"/>
          <w:lang w:val="en-US" w:eastAsia="zh-CN"/>
        </w:rPr>
        <w:t>2</w:t>
      </w:r>
      <w:r>
        <w:rPr>
          <w:rFonts w:hint="default" w:ascii="仿宋" w:hAnsi="仿宋" w:eastAsia="仿宋" w:cs="Times New Roman"/>
          <w:color w:val="auto"/>
          <w:sz w:val="30"/>
          <w:szCs w:val="20"/>
          <w:lang w:val="en-US" w:eastAsia="zh-CN"/>
        </w:rPr>
        <w:t>个，</w:t>
      </w:r>
      <w:r>
        <w:rPr>
          <w:rFonts w:hint="eastAsia" w:ascii="仿宋" w:hAnsi="仿宋" w:eastAsia="仿宋" w:cs="Times New Roman"/>
          <w:color w:val="auto"/>
          <w:sz w:val="30"/>
          <w:szCs w:val="20"/>
          <w:lang w:val="en-US" w:eastAsia="zh-CN"/>
        </w:rPr>
        <w:t>分别是：</w:t>
      </w:r>
    </w:p>
    <w:p w14:paraId="731B93E3">
      <w:pPr>
        <w:keepNext/>
        <w:keepLines/>
        <w:widowControl/>
        <w:spacing w:beforeLines="0" w:afterLines="0" w:line="590" w:lineRule="exact"/>
        <w:ind w:firstLine="600"/>
        <w:jc w:val="both"/>
        <w:rPr>
          <w:rFonts w:hint="eastAsia" w:ascii="仿宋" w:hAnsi="仿宋" w:eastAsia="仿宋" w:cs="Times New Roman"/>
          <w:color w:val="auto"/>
          <w:sz w:val="30"/>
          <w:szCs w:val="20"/>
          <w:lang w:val="en-US" w:eastAsia="zh-CN"/>
        </w:rPr>
      </w:pPr>
      <w:r>
        <w:rPr>
          <w:rFonts w:hint="eastAsia" w:ascii="仿宋" w:hAnsi="仿宋" w:eastAsia="仿宋" w:cs="Times New Roman"/>
          <w:color w:val="auto"/>
          <w:sz w:val="30"/>
          <w:szCs w:val="20"/>
          <w:lang w:val="en-US" w:eastAsia="zh-CN"/>
        </w:rPr>
        <w:t>1.元江县应急管理综合行政执法大队;</w:t>
      </w:r>
    </w:p>
    <w:p w14:paraId="4F53A93A">
      <w:pPr>
        <w:keepNext/>
        <w:keepLines/>
        <w:widowControl/>
        <w:spacing w:beforeLines="0" w:afterLines="0" w:line="590" w:lineRule="exact"/>
        <w:ind w:firstLine="600"/>
        <w:jc w:val="both"/>
        <w:rPr>
          <w:rFonts w:hint="eastAsia" w:ascii="仿宋" w:hAnsi="仿宋" w:eastAsia="仿宋" w:cs="Times New Roman"/>
          <w:color w:val="auto"/>
          <w:sz w:val="30"/>
          <w:szCs w:val="20"/>
          <w:lang w:val="en-US" w:eastAsia="zh-CN"/>
        </w:rPr>
      </w:pPr>
      <w:r>
        <w:rPr>
          <w:rFonts w:hint="eastAsia" w:ascii="仿宋" w:hAnsi="仿宋" w:eastAsia="仿宋" w:cs="Times New Roman"/>
          <w:color w:val="auto"/>
          <w:sz w:val="30"/>
          <w:szCs w:val="20"/>
          <w:lang w:val="en-US" w:eastAsia="zh-CN"/>
        </w:rPr>
        <w:t>2.元江县应急救援服务中心。</w:t>
      </w:r>
    </w:p>
    <w:p w14:paraId="53D80ECF">
      <w:pPr>
        <w:keepNext w:val="0"/>
        <w:keepLines w:val="0"/>
        <w:pageBreakBefore w:val="0"/>
        <w:widowControl/>
        <w:kinsoku/>
        <w:wordWrap/>
        <w:overflowPunct/>
        <w:topLinePunct w:val="0"/>
        <w:autoSpaceDE/>
        <w:autoSpaceDN/>
        <w:bidi w:val="0"/>
        <w:adjustRightInd/>
        <w:snapToGrid/>
        <w:spacing w:before="100" w:beforeLines="0" w:after="100" w:afterLines="0" w:line="580" w:lineRule="exact"/>
        <w:ind w:firstLine="601"/>
        <w:jc w:val="left"/>
        <w:textAlignment w:val="auto"/>
        <w:rPr>
          <w:rFonts w:hint="eastAsia" w:ascii="楷体" w:hAnsi="楷体" w:eastAsia="楷体" w:cs="Times New Roman"/>
          <w:color w:val="auto"/>
          <w:sz w:val="30"/>
          <w:szCs w:val="20"/>
          <w:lang w:val="zh-CN"/>
        </w:rPr>
      </w:pPr>
      <w:r>
        <w:rPr>
          <w:rFonts w:hint="eastAsia" w:ascii="楷体" w:hAnsi="楷体" w:eastAsia="楷体" w:cs="Times New Roman"/>
          <w:color w:val="auto"/>
          <w:sz w:val="30"/>
          <w:szCs w:val="20"/>
          <w:lang w:val="zh-CN"/>
        </w:rPr>
        <w:t>（二）决算单位构成</w:t>
      </w:r>
    </w:p>
    <w:p w14:paraId="66C029EA">
      <w:pPr>
        <w:widowControl/>
        <w:spacing w:beforeLines="0" w:afterLines="0" w:line="590" w:lineRule="exact"/>
        <w:ind w:firstLine="600"/>
        <w:jc w:val="both"/>
        <w:rPr>
          <w:rFonts w:hint="eastAsia" w:ascii="仿宋" w:hAnsi="仿宋" w:eastAsia="仿宋"/>
          <w:color w:val="auto"/>
          <w:sz w:val="30"/>
          <w:lang w:val="en-US" w:eastAsia="zh-CN"/>
        </w:rPr>
      </w:pPr>
      <w:r>
        <w:rPr>
          <w:rFonts w:hint="eastAsia" w:ascii="仿宋" w:hAnsi="仿宋" w:eastAsia="仿宋"/>
          <w:color w:val="auto"/>
          <w:sz w:val="30"/>
          <w:lang w:val="en-US"/>
        </w:rPr>
        <w:t>纳入</w:t>
      </w:r>
      <w:r>
        <w:rPr>
          <w:rFonts w:hint="eastAsia" w:ascii="仿宋" w:hAnsi="仿宋" w:eastAsia="仿宋"/>
          <w:color w:val="auto"/>
          <w:sz w:val="30"/>
          <w:lang w:val="zh-CN"/>
        </w:rPr>
        <w:t>元江哈尼族彝族傣族自治县应急管理局</w:t>
      </w:r>
      <w:r>
        <w:rPr>
          <w:rFonts w:hint="eastAsia" w:ascii="仿宋" w:hAnsi="仿宋" w:eastAsia="仿宋"/>
          <w:color w:val="auto"/>
          <w:sz w:val="30"/>
          <w:lang w:val="en-US"/>
        </w:rPr>
        <w:t>2023年度部门决算编报的单位共</w:t>
      </w:r>
      <w:r>
        <w:rPr>
          <w:rFonts w:hint="eastAsia" w:ascii="仿宋" w:hAnsi="仿宋" w:eastAsia="仿宋"/>
          <w:color w:val="auto"/>
          <w:sz w:val="30"/>
          <w:lang w:val="en-US" w:eastAsia="zh-CN"/>
        </w:rPr>
        <w:t>3</w:t>
      </w:r>
      <w:r>
        <w:rPr>
          <w:rFonts w:hint="eastAsia" w:ascii="仿宋" w:hAnsi="仿宋" w:eastAsia="仿宋"/>
          <w:color w:val="auto"/>
          <w:sz w:val="30"/>
          <w:lang w:val="en-US"/>
        </w:rPr>
        <w:t>个。其中：行政单位</w:t>
      </w:r>
      <w:r>
        <w:rPr>
          <w:rFonts w:hint="eastAsia" w:ascii="仿宋" w:hAnsi="仿宋" w:eastAsia="仿宋"/>
          <w:color w:val="auto"/>
          <w:sz w:val="30"/>
          <w:lang w:val="en-US" w:eastAsia="zh-CN"/>
        </w:rPr>
        <w:t>1</w:t>
      </w:r>
      <w:r>
        <w:rPr>
          <w:rFonts w:hint="eastAsia" w:ascii="仿宋" w:hAnsi="仿宋" w:eastAsia="仿宋"/>
          <w:color w:val="auto"/>
          <w:sz w:val="30"/>
          <w:lang w:val="en-US"/>
        </w:rPr>
        <w:t>个，参照公务员法管理的事业单位</w:t>
      </w:r>
      <w:r>
        <w:rPr>
          <w:rFonts w:hint="eastAsia" w:ascii="仿宋" w:hAnsi="仿宋" w:eastAsia="仿宋"/>
          <w:color w:val="auto"/>
          <w:sz w:val="30"/>
          <w:lang w:val="en-US" w:eastAsia="zh-CN"/>
        </w:rPr>
        <w:t>1</w:t>
      </w:r>
      <w:r>
        <w:rPr>
          <w:rFonts w:hint="eastAsia" w:ascii="仿宋" w:hAnsi="仿宋" w:eastAsia="仿宋"/>
          <w:color w:val="auto"/>
          <w:sz w:val="30"/>
          <w:lang w:val="en-US"/>
        </w:rPr>
        <w:t>个，其他事业单位</w:t>
      </w:r>
      <w:r>
        <w:rPr>
          <w:rFonts w:hint="eastAsia" w:ascii="仿宋" w:hAnsi="仿宋" w:eastAsia="仿宋"/>
          <w:color w:val="auto"/>
          <w:sz w:val="30"/>
          <w:lang w:val="en-US" w:eastAsia="zh-CN"/>
        </w:rPr>
        <w:t>1</w:t>
      </w:r>
      <w:r>
        <w:rPr>
          <w:rFonts w:hint="eastAsia" w:ascii="仿宋" w:hAnsi="仿宋" w:eastAsia="仿宋"/>
          <w:color w:val="auto"/>
          <w:sz w:val="30"/>
          <w:lang w:val="en-US"/>
        </w:rPr>
        <w:t>个。</w:t>
      </w:r>
      <w:r>
        <w:rPr>
          <w:rFonts w:hint="eastAsia" w:ascii="仿宋" w:hAnsi="仿宋" w:eastAsia="仿宋"/>
          <w:color w:val="auto"/>
          <w:sz w:val="30"/>
          <w:lang w:val="en-US" w:eastAsia="zh-CN"/>
        </w:rPr>
        <w:t>分别是：</w:t>
      </w:r>
    </w:p>
    <w:p w14:paraId="397073C7">
      <w:pPr>
        <w:widowControl/>
        <w:spacing w:beforeLines="0" w:afterLines="0" w:line="590" w:lineRule="exact"/>
        <w:ind w:firstLine="600"/>
        <w:jc w:val="both"/>
        <w:rPr>
          <w:rFonts w:hint="eastAsia" w:ascii="仿宋" w:hAnsi="仿宋" w:eastAsia="仿宋" w:cs="Times New Roman"/>
          <w:color w:val="auto"/>
          <w:sz w:val="30"/>
          <w:szCs w:val="20"/>
          <w:lang w:val="en-US" w:eastAsia="zh-CN"/>
        </w:rPr>
      </w:pPr>
      <w:r>
        <w:rPr>
          <w:rFonts w:hint="eastAsia" w:ascii="仿宋" w:hAnsi="仿宋" w:eastAsia="仿宋" w:cs="Times New Roman"/>
          <w:color w:val="auto"/>
          <w:sz w:val="30"/>
          <w:szCs w:val="20"/>
          <w:lang w:val="en-US" w:eastAsia="zh-CN"/>
        </w:rPr>
        <w:t>1.元江哈尼族彝族傣族自治县应急管理局；</w:t>
      </w:r>
    </w:p>
    <w:p w14:paraId="65DE50F2">
      <w:pPr>
        <w:widowControl/>
        <w:spacing w:beforeLines="0" w:afterLines="0" w:line="590" w:lineRule="exact"/>
        <w:ind w:firstLine="600"/>
        <w:jc w:val="both"/>
        <w:rPr>
          <w:rFonts w:hint="eastAsia" w:ascii="仿宋" w:hAnsi="仿宋" w:eastAsia="仿宋" w:cs="Times New Roman"/>
          <w:color w:val="auto"/>
          <w:sz w:val="30"/>
          <w:szCs w:val="20"/>
          <w:lang w:val="en-US" w:eastAsia="zh-CN"/>
        </w:rPr>
      </w:pPr>
      <w:r>
        <w:rPr>
          <w:rFonts w:hint="eastAsia" w:ascii="仿宋" w:hAnsi="仿宋" w:eastAsia="仿宋" w:cs="Times New Roman"/>
          <w:color w:val="auto"/>
          <w:sz w:val="30"/>
          <w:szCs w:val="20"/>
          <w:lang w:val="en-US" w:eastAsia="zh-CN"/>
        </w:rPr>
        <w:t>2.元江县应急管理综合行政执法大队;</w:t>
      </w:r>
    </w:p>
    <w:p w14:paraId="5DB0B7CD">
      <w:pPr>
        <w:widowControl/>
        <w:spacing w:beforeLines="0" w:afterLines="0" w:line="590" w:lineRule="exact"/>
        <w:ind w:firstLine="600"/>
        <w:jc w:val="both"/>
        <w:rPr>
          <w:rFonts w:hint="eastAsia" w:ascii="仿宋" w:hAnsi="仿宋" w:eastAsia="仿宋" w:cs="Times New Roman"/>
          <w:color w:val="auto"/>
          <w:sz w:val="30"/>
          <w:szCs w:val="20"/>
          <w:lang w:val="en-US" w:eastAsia="zh-CN"/>
        </w:rPr>
      </w:pPr>
      <w:r>
        <w:rPr>
          <w:rFonts w:hint="eastAsia" w:ascii="仿宋" w:hAnsi="仿宋" w:eastAsia="仿宋" w:cs="Times New Roman"/>
          <w:color w:val="auto"/>
          <w:sz w:val="30"/>
          <w:szCs w:val="20"/>
          <w:lang w:val="en-US" w:eastAsia="zh-CN"/>
        </w:rPr>
        <w:t>3.元江县应急救援服务中心。</w:t>
      </w:r>
      <w:bookmarkStart w:id="1" w:name="OLE_LINK4"/>
    </w:p>
    <w:p w14:paraId="7E375932">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sz w:val="30"/>
          <w:lang w:val="en-US"/>
        </w:rPr>
      </w:pPr>
      <w:r>
        <w:rPr>
          <w:rFonts w:hint="eastAsia" w:ascii="仿宋" w:hAnsi="仿宋" w:eastAsia="仿宋"/>
          <w:color w:val="auto"/>
          <w:sz w:val="30"/>
          <w:lang w:val="en-US"/>
        </w:rPr>
        <w:t>纳入元江哈尼族彝族傣族自治县应急管理局2023年度部门决算编报的单位与我部门所属单位范围保持一致。</w:t>
      </w:r>
      <w:bookmarkEnd w:id="1"/>
    </w:p>
    <w:p w14:paraId="13203C72">
      <w:pPr>
        <w:keepNext w:val="0"/>
        <w:keepLines w:val="0"/>
        <w:pageBreakBefore w:val="0"/>
        <w:widowControl/>
        <w:kinsoku/>
        <w:wordWrap/>
        <w:overflowPunct/>
        <w:topLinePunct w:val="0"/>
        <w:autoSpaceDE/>
        <w:autoSpaceDN/>
        <w:bidi w:val="0"/>
        <w:adjustRightInd/>
        <w:snapToGrid/>
        <w:spacing w:before="100" w:beforeLines="0" w:after="100" w:afterLines="0" w:line="580" w:lineRule="exact"/>
        <w:ind w:firstLine="601"/>
        <w:jc w:val="left"/>
        <w:textAlignment w:val="auto"/>
        <w:rPr>
          <w:rFonts w:hint="eastAsia" w:ascii="楷体" w:hAnsi="楷体" w:eastAsia="楷体" w:cs="Times New Roman"/>
          <w:color w:val="auto"/>
          <w:sz w:val="30"/>
          <w:szCs w:val="20"/>
          <w:lang w:val="zh-CN"/>
        </w:rPr>
      </w:pPr>
      <w:r>
        <w:rPr>
          <w:rFonts w:hint="eastAsia" w:ascii="楷体" w:hAnsi="楷体" w:eastAsia="楷体" w:cs="Times New Roman"/>
          <w:color w:val="auto"/>
          <w:sz w:val="30"/>
          <w:szCs w:val="20"/>
          <w:lang w:val="zh-CN"/>
        </w:rPr>
        <w:t>（</w:t>
      </w:r>
      <w:r>
        <w:rPr>
          <w:rFonts w:hint="eastAsia" w:ascii="楷体" w:hAnsi="楷体" w:eastAsia="楷体" w:cs="Times New Roman"/>
          <w:color w:val="auto"/>
          <w:sz w:val="30"/>
          <w:szCs w:val="20"/>
          <w:lang w:val="en-US"/>
        </w:rPr>
        <w:t>三</w:t>
      </w:r>
      <w:r>
        <w:rPr>
          <w:rFonts w:hint="eastAsia" w:ascii="楷体" w:hAnsi="楷体" w:eastAsia="楷体" w:cs="Times New Roman"/>
          <w:color w:val="auto"/>
          <w:sz w:val="30"/>
          <w:szCs w:val="20"/>
          <w:lang w:val="zh-CN"/>
        </w:rPr>
        <w:t xml:space="preserve">）部门人员和车辆的编制及实有情况 </w:t>
      </w:r>
    </w:p>
    <w:p w14:paraId="038B932C">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sz w:val="30"/>
          <w:lang w:val="en-US"/>
        </w:rPr>
      </w:pPr>
      <w:r>
        <w:rPr>
          <w:rFonts w:hint="eastAsia" w:ascii="仿宋" w:hAnsi="仿宋" w:eastAsia="仿宋"/>
          <w:color w:val="auto"/>
          <w:sz w:val="30"/>
          <w:lang w:val="zh-CN"/>
        </w:rPr>
        <w:t>元江哈尼族彝族傣族自治县应急管理局</w:t>
      </w:r>
      <w:r>
        <w:rPr>
          <w:rFonts w:hint="eastAsia" w:ascii="仿宋" w:hAnsi="仿宋" w:eastAsia="仿宋"/>
          <w:color w:val="auto"/>
          <w:sz w:val="30"/>
          <w:lang w:val="en-US"/>
        </w:rPr>
        <w:t>2023年末实有人员编制26人。其中：行政编制15人（含行政工勤编制1人），事业编制11人（含参公管理事业编制0人）；在职在编实有行政人员</w:t>
      </w:r>
      <w:r>
        <w:rPr>
          <w:rFonts w:hint="eastAsia" w:ascii="仿宋" w:hAnsi="仿宋" w:eastAsia="仿宋"/>
          <w:color w:val="auto"/>
          <w:sz w:val="30"/>
          <w:lang w:val="en-US" w:eastAsia="zh-CN"/>
        </w:rPr>
        <w:t>15</w:t>
      </w:r>
      <w:r>
        <w:rPr>
          <w:rFonts w:hint="eastAsia" w:ascii="仿宋" w:hAnsi="仿宋" w:eastAsia="仿宋"/>
          <w:color w:val="auto"/>
          <w:sz w:val="30"/>
          <w:lang w:val="en-US"/>
        </w:rPr>
        <w:t>人（含行政工勤人员</w:t>
      </w:r>
      <w:r>
        <w:rPr>
          <w:rFonts w:hint="eastAsia" w:ascii="仿宋" w:hAnsi="仿宋" w:eastAsia="仿宋"/>
          <w:color w:val="auto"/>
          <w:sz w:val="30"/>
          <w:lang w:val="en-US" w:eastAsia="zh-CN"/>
        </w:rPr>
        <w:t>1</w:t>
      </w:r>
      <w:r>
        <w:rPr>
          <w:rFonts w:hint="eastAsia" w:ascii="仿宋" w:hAnsi="仿宋" w:eastAsia="仿宋"/>
          <w:color w:val="auto"/>
          <w:sz w:val="30"/>
          <w:lang w:val="en-US"/>
        </w:rPr>
        <w:t>人），参照公务员法管理事业人员</w:t>
      </w:r>
      <w:r>
        <w:rPr>
          <w:rFonts w:hint="eastAsia" w:ascii="仿宋" w:hAnsi="仿宋" w:eastAsia="仿宋"/>
          <w:color w:val="auto"/>
          <w:sz w:val="30"/>
          <w:lang w:val="en-US" w:eastAsia="zh-CN"/>
        </w:rPr>
        <w:t>0</w:t>
      </w:r>
      <w:r>
        <w:rPr>
          <w:rFonts w:hint="eastAsia" w:ascii="仿宋" w:hAnsi="仿宋" w:eastAsia="仿宋"/>
          <w:color w:val="auto"/>
          <w:sz w:val="30"/>
          <w:lang w:val="en-US"/>
        </w:rPr>
        <w:t>人，非参公管理事业人员</w:t>
      </w:r>
      <w:r>
        <w:rPr>
          <w:rFonts w:hint="eastAsia" w:ascii="仿宋" w:hAnsi="仿宋" w:eastAsia="仿宋"/>
          <w:color w:val="auto"/>
          <w:sz w:val="30"/>
          <w:lang w:val="en-US" w:eastAsia="zh-CN"/>
        </w:rPr>
        <w:t>11</w:t>
      </w:r>
      <w:r>
        <w:rPr>
          <w:rFonts w:hint="eastAsia" w:ascii="仿宋" w:hAnsi="仿宋" w:eastAsia="仿宋"/>
          <w:color w:val="auto"/>
          <w:sz w:val="30"/>
          <w:lang w:val="en-US"/>
        </w:rPr>
        <w:t>人。</w:t>
      </w:r>
    </w:p>
    <w:p w14:paraId="4FA1B23F">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sz w:val="30"/>
          <w:lang w:val="en-US"/>
        </w:rPr>
      </w:pPr>
      <w:r>
        <w:rPr>
          <w:rFonts w:hint="eastAsia" w:ascii="仿宋" w:hAnsi="仿宋" w:eastAsia="仿宋"/>
          <w:color w:val="auto"/>
          <w:sz w:val="30"/>
          <w:lang w:val="en-US"/>
        </w:rPr>
        <w:t>年末尚未移交养老保险基金发放养老金的离退休人员共计</w:t>
      </w:r>
      <w:r>
        <w:rPr>
          <w:rFonts w:hint="eastAsia" w:ascii="仿宋" w:hAnsi="仿宋" w:eastAsia="仿宋"/>
          <w:color w:val="auto"/>
          <w:sz w:val="30"/>
          <w:lang w:val="en-US" w:eastAsia="zh-CN"/>
        </w:rPr>
        <w:t>0</w:t>
      </w:r>
      <w:r>
        <w:rPr>
          <w:rFonts w:hint="eastAsia" w:ascii="仿宋" w:hAnsi="仿宋" w:eastAsia="仿宋"/>
          <w:color w:val="auto"/>
          <w:sz w:val="30"/>
          <w:lang w:val="en-US"/>
        </w:rPr>
        <w:t>人（离休</w:t>
      </w:r>
      <w:r>
        <w:rPr>
          <w:rFonts w:hint="eastAsia" w:ascii="仿宋" w:hAnsi="仿宋" w:eastAsia="仿宋"/>
          <w:color w:val="auto"/>
          <w:sz w:val="30"/>
          <w:lang w:val="en-US" w:eastAsia="zh-CN"/>
        </w:rPr>
        <w:t>0</w:t>
      </w:r>
      <w:r>
        <w:rPr>
          <w:rFonts w:hint="eastAsia" w:ascii="仿宋" w:hAnsi="仿宋" w:eastAsia="仿宋"/>
          <w:color w:val="auto"/>
          <w:sz w:val="30"/>
          <w:lang w:val="en-US"/>
        </w:rPr>
        <w:t>人，退休</w:t>
      </w:r>
      <w:r>
        <w:rPr>
          <w:rFonts w:hint="eastAsia" w:ascii="仿宋" w:hAnsi="仿宋" w:eastAsia="仿宋"/>
          <w:color w:val="auto"/>
          <w:sz w:val="30"/>
          <w:lang w:val="en-US" w:eastAsia="zh-CN"/>
        </w:rPr>
        <w:t>0</w:t>
      </w:r>
      <w:r>
        <w:rPr>
          <w:rFonts w:hint="eastAsia" w:ascii="仿宋" w:hAnsi="仿宋" w:eastAsia="仿宋"/>
          <w:color w:val="auto"/>
          <w:sz w:val="30"/>
          <w:lang w:val="en-US"/>
        </w:rPr>
        <w:t>人）。年末由养老保险基金发放养老金的离退休人员</w:t>
      </w:r>
      <w:r>
        <w:rPr>
          <w:rFonts w:hint="eastAsia" w:ascii="仿宋" w:hAnsi="仿宋" w:eastAsia="仿宋"/>
          <w:color w:val="auto"/>
          <w:sz w:val="30"/>
          <w:lang w:val="en-US" w:eastAsia="zh-CN"/>
        </w:rPr>
        <w:t>6</w:t>
      </w:r>
      <w:r>
        <w:rPr>
          <w:rFonts w:hint="eastAsia" w:ascii="仿宋" w:hAnsi="仿宋" w:eastAsia="仿宋"/>
          <w:color w:val="auto"/>
          <w:sz w:val="30"/>
          <w:lang w:val="en-US"/>
        </w:rPr>
        <w:t>人（离休</w:t>
      </w:r>
      <w:r>
        <w:rPr>
          <w:rFonts w:hint="eastAsia" w:ascii="仿宋" w:hAnsi="仿宋" w:eastAsia="仿宋"/>
          <w:color w:val="auto"/>
          <w:sz w:val="30"/>
          <w:lang w:val="en-US" w:eastAsia="zh-CN"/>
        </w:rPr>
        <w:t>0</w:t>
      </w:r>
      <w:r>
        <w:rPr>
          <w:rFonts w:hint="eastAsia" w:ascii="仿宋" w:hAnsi="仿宋" w:eastAsia="仿宋"/>
          <w:color w:val="auto"/>
          <w:sz w:val="30"/>
          <w:lang w:val="en-US"/>
        </w:rPr>
        <w:t>人，退休</w:t>
      </w:r>
      <w:r>
        <w:rPr>
          <w:rFonts w:hint="eastAsia" w:ascii="仿宋" w:hAnsi="仿宋" w:eastAsia="仿宋"/>
          <w:color w:val="auto"/>
          <w:sz w:val="30"/>
          <w:lang w:val="en-US" w:eastAsia="zh-CN"/>
        </w:rPr>
        <w:t>6</w:t>
      </w:r>
      <w:r>
        <w:rPr>
          <w:rFonts w:hint="eastAsia" w:ascii="仿宋" w:hAnsi="仿宋" w:eastAsia="仿宋"/>
          <w:color w:val="auto"/>
          <w:sz w:val="30"/>
          <w:lang w:val="en-US"/>
        </w:rPr>
        <w:t>人）。</w:t>
      </w:r>
    </w:p>
    <w:p w14:paraId="2A80AD28">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rPr>
      </w:pPr>
      <w:r>
        <w:rPr>
          <w:rFonts w:hint="eastAsia" w:ascii="仿宋" w:hAnsi="仿宋" w:eastAsia="仿宋" w:cs="Times New Roman"/>
          <w:color w:val="auto"/>
          <w:kern w:val="0"/>
          <w:sz w:val="30"/>
          <w:szCs w:val="20"/>
          <w:lang w:val="en-US"/>
        </w:rPr>
        <w:t>年末其他人员</w:t>
      </w:r>
      <w:r>
        <w:rPr>
          <w:rFonts w:hint="eastAsia" w:ascii="仿宋" w:hAnsi="仿宋" w:eastAsia="仿宋" w:cs="Times New Roman"/>
          <w:color w:val="auto"/>
          <w:kern w:val="0"/>
          <w:sz w:val="30"/>
          <w:szCs w:val="20"/>
          <w:lang w:val="en-US" w:eastAsia="zh-CN"/>
        </w:rPr>
        <w:t>0</w:t>
      </w:r>
      <w:r>
        <w:rPr>
          <w:rFonts w:hint="eastAsia" w:ascii="仿宋" w:hAnsi="仿宋" w:eastAsia="仿宋" w:cs="Times New Roman"/>
          <w:color w:val="auto"/>
          <w:kern w:val="0"/>
          <w:sz w:val="30"/>
          <w:szCs w:val="20"/>
          <w:lang w:val="en-US"/>
        </w:rPr>
        <w:t>人。其中：一般公共预算财政拨款开支人员</w:t>
      </w:r>
      <w:r>
        <w:rPr>
          <w:rFonts w:hint="eastAsia" w:ascii="仿宋" w:hAnsi="仿宋" w:eastAsia="仿宋" w:cs="Times New Roman"/>
          <w:color w:val="auto"/>
          <w:sz w:val="30"/>
          <w:szCs w:val="20"/>
          <w:lang w:val="en-US" w:eastAsia="zh-CN"/>
        </w:rPr>
        <w:t>0</w:t>
      </w:r>
      <w:r>
        <w:rPr>
          <w:rFonts w:hint="eastAsia" w:ascii="仿宋" w:hAnsi="仿宋" w:eastAsia="仿宋" w:cs="Times New Roman"/>
          <w:color w:val="auto"/>
          <w:kern w:val="0"/>
          <w:sz w:val="30"/>
          <w:szCs w:val="20"/>
          <w:lang w:val="en-US"/>
        </w:rPr>
        <w:t>人，政府性基金预算财政拨款开支人员</w:t>
      </w:r>
      <w:r>
        <w:rPr>
          <w:rFonts w:hint="eastAsia" w:ascii="仿宋" w:hAnsi="仿宋" w:eastAsia="仿宋" w:cs="Times New Roman"/>
          <w:color w:val="auto"/>
          <w:sz w:val="30"/>
          <w:szCs w:val="20"/>
          <w:lang w:val="en-US" w:eastAsia="zh-CN"/>
        </w:rPr>
        <w:t>0</w:t>
      </w:r>
      <w:r>
        <w:rPr>
          <w:rFonts w:hint="eastAsia" w:ascii="仿宋" w:hAnsi="仿宋" w:eastAsia="仿宋" w:cs="Times New Roman"/>
          <w:color w:val="auto"/>
          <w:kern w:val="0"/>
          <w:sz w:val="30"/>
          <w:szCs w:val="20"/>
          <w:lang w:val="en-US"/>
        </w:rPr>
        <w:t>人。年末学生</w:t>
      </w:r>
      <w:r>
        <w:rPr>
          <w:rFonts w:hint="eastAsia" w:ascii="仿宋" w:hAnsi="仿宋" w:eastAsia="仿宋" w:cs="Times New Roman"/>
          <w:color w:val="auto"/>
          <w:sz w:val="30"/>
          <w:szCs w:val="20"/>
          <w:lang w:val="en-US" w:eastAsia="zh-CN"/>
        </w:rPr>
        <w:t>0</w:t>
      </w:r>
      <w:r>
        <w:rPr>
          <w:rFonts w:hint="eastAsia" w:ascii="仿宋" w:hAnsi="仿宋" w:eastAsia="仿宋" w:cs="Times New Roman"/>
          <w:color w:val="auto"/>
          <w:kern w:val="0"/>
          <w:sz w:val="30"/>
          <w:szCs w:val="20"/>
          <w:lang w:val="en-US"/>
        </w:rPr>
        <w:t>人。年末遗属</w:t>
      </w:r>
      <w:r>
        <w:rPr>
          <w:rFonts w:hint="eastAsia" w:ascii="仿宋" w:hAnsi="仿宋" w:eastAsia="仿宋" w:cs="Times New Roman"/>
          <w:color w:val="auto"/>
          <w:kern w:val="0"/>
          <w:sz w:val="30"/>
          <w:szCs w:val="20"/>
          <w:lang w:val="en-US" w:eastAsia="zh-CN"/>
        </w:rPr>
        <w:t>1</w:t>
      </w:r>
      <w:r>
        <w:rPr>
          <w:rFonts w:hint="eastAsia" w:ascii="仿宋" w:hAnsi="仿宋" w:eastAsia="仿宋" w:cs="Times New Roman"/>
          <w:color w:val="auto"/>
          <w:kern w:val="0"/>
          <w:sz w:val="30"/>
          <w:szCs w:val="20"/>
          <w:lang w:val="en-US"/>
        </w:rPr>
        <w:t>人。</w:t>
      </w:r>
    </w:p>
    <w:p w14:paraId="38718079">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车辆编制1辆，在编实有车辆1辆。</w:t>
      </w:r>
    </w:p>
    <w:p w14:paraId="1D47EAE4">
      <w:pPr>
        <w:widowControl/>
        <w:spacing w:beforeLines="0" w:afterLines="0" w:line="590" w:lineRule="exact"/>
        <w:jc w:val="center"/>
        <w:rPr>
          <w:rFonts w:hint="eastAsia" w:ascii="Times New Roman" w:hAnsi="Times New Roman" w:eastAsia="Times New Roman" w:cs="Times New Roman"/>
          <w:color w:val="auto"/>
          <w:sz w:val="32"/>
          <w:szCs w:val="20"/>
          <w:lang w:val="zh-CN"/>
        </w:rPr>
      </w:pPr>
      <w:r>
        <w:rPr>
          <w:rFonts w:hint="eastAsia" w:ascii="黑体" w:hAnsi="黑体" w:eastAsia="黑体" w:cs="Times New Roman"/>
          <w:color w:val="auto"/>
          <w:sz w:val="32"/>
          <w:szCs w:val="20"/>
          <w:lang w:val="zh-CN"/>
        </w:rPr>
        <w:t>第二部分  202</w:t>
      </w:r>
      <w:r>
        <w:rPr>
          <w:rFonts w:hint="eastAsia" w:ascii="黑体" w:hAnsi="黑体" w:eastAsia="黑体" w:cs="Times New Roman"/>
          <w:color w:val="auto"/>
          <w:sz w:val="32"/>
          <w:szCs w:val="20"/>
          <w:lang w:val="en-US"/>
        </w:rPr>
        <w:t>3</w:t>
      </w:r>
      <w:r>
        <w:rPr>
          <w:rFonts w:hint="eastAsia" w:ascii="黑体" w:hAnsi="黑体" w:eastAsia="黑体" w:cs="Times New Roman"/>
          <w:color w:val="auto"/>
          <w:sz w:val="32"/>
          <w:szCs w:val="20"/>
          <w:lang w:val="zh-CN"/>
        </w:rPr>
        <w:t>年度部门决算表</w:t>
      </w:r>
    </w:p>
    <w:p w14:paraId="313A93BD">
      <w:pPr>
        <w:widowControl/>
        <w:spacing w:beforeLines="0" w:afterLines="0" w:line="590" w:lineRule="exact"/>
        <w:ind w:firstLine="600"/>
        <w:jc w:val="center"/>
        <w:rPr>
          <w:rFonts w:hint="eastAsia" w:ascii="仿宋" w:hAnsi="仿宋" w:eastAsia="仿宋" w:cs="Times New Roman"/>
          <w:color w:val="auto"/>
          <w:sz w:val="30"/>
          <w:szCs w:val="20"/>
          <w:lang w:val="zh-CN"/>
        </w:rPr>
      </w:pPr>
      <w:r>
        <w:rPr>
          <w:rFonts w:hint="eastAsia" w:ascii="仿宋" w:hAnsi="仿宋" w:eastAsia="仿宋" w:cs="Times New Roman"/>
          <w:color w:val="auto"/>
          <w:sz w:val="30"/>
          <w:szCs w:val="20"/>
          <w:lang w:val="zh-CN"/>
        </w:rPr>
        <w:t>（详见附件）</w:t>
      </w:r>
    </w:p>
    <w:p w14:paraId="2612F0BC">
      <w:pPr>
        <w:widowControl/>
        <w:spacing w:beforeLines="0" w:afterLines="0" w:line="590" w:lineRule="exact"/>
        <w:ind w:firstLine="600"/>
        <w:jc w:val="both"/>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元江哈尼族彝族傣族自治县应急管理局无政府性基金预算财政拨款的收支和年初、年末结转结余情况，故《政府性基金预算财政拨款收入支出决算表》无数据。</w:t>
      </w:r>
    </w:p>
    <w:p w14:paraId="64CB3879">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元江哈尼族彝族傣族自治县应急管理局无国有资本经营预算财政拨款的收支和年初、年末结转结余情况，故《国有资本经营预算财政拨款的收入支出决算表》无数据。</w:t>
      </w:r>
    </w:p>
    <w:p w14:paraId="2CC5434D">
      <w:pPr>
        <w:widowControl/>
        <w:spacing w:beforeLines="0" w:afterLines="0" w:line="590" w:lineRule="exact"/>
        <w:jc w:val="center"/>
        <w:rPr>
          <w:rFonts w:hint="eastAsia" w:ascii="黑体" w:hAnsi="黑体" w:eastAsia="黑体" w:cs="Times New Roman"/>
          <w:color w:val="auto"/>
          <w:sz w:val="32"/>
          <w:szCs w:val="20"/>
          <w:lang w:val="zh-CN"/>
        </w:rPr>
      </w:pPr>
      <w:r>
        <w:rPr>
          <w:rFonts w:hint="eastAsia" w:ascii="黑体" w:hAnsi="黑体" w:eastAsia="黑体" w:cs="Times New Roman"/>
          <w:color w:val="auto"/>
          <w:sz w:val="32"/>
          <w:szCs w:val="20"/>
          <w:lang w:val="zh-CN"/>
        </w:rPr>
        <w:t>第三部分  202</w:t>
      </w:r>
      <w:r>
        <w:rPr>
          <w:rFonts w:hint="eastAsia" w:ascii="黑体" w:hAnsi="黑体" w:eastAsia="黑体" w:cs="Times New Roman"/>
          <w:color w:val="auto"/>
          <w:sz w:val="32"/>
          <w:szCs w:val="20"/>
          <w:lang w:val="en-US"/>
        </w:rPr>
        <w:t>3</w:t>
      </w:r>
      <w:r>
        <w:rPr>
          <w:rFonts w:hint="eastAsia" w:ascii="黑体" w:hAnsi="黑体" w:eastAsia="黑体" w:cs="Times New Roman"/>
          <w:color w:val="auto"/>
          <w:sz w:val="32"/>
          <w:szCs w:val="20"/>
          <w:lang w:val="zh-CN"/>
        </w:rPr>
        <w:t>年度部门决算情况说明</w:t>
      </w:r>
    </w:p>
    <w:p w14:paraId="65C08354">
      <w:pPr>
        <w:widowControl/>
        <w:spacing w:beforeLines="0" w:afterLines="0" w:line="590" w:lineRule="exact"/>
        <w:ind w:firstLine="600"/>
        <w:jc w:val="left"/>
        <w:rPr>
          <w:rFonts w:hint="eastAsia" w:ascii="Times New Roman" w:hAnsi="Times New Roman" w:eastAsia="Times New Roman" w:cs="Times New Roman"/>
          <w:color w:val="auto"/>
          <w:sz w:val="30"/>
          <w:szCs w:val="20"/>
          <w:lang w:val="zh-CN"/>
        </w:rPr>
      </w:pPr>
      <w:r>
        <w:rPr>
          <w:rFonts w:hint="eastAsia" w:ascii="黑体" w:hAnsi="黑体" w:eastAsia="黑体" w:cs="Times New Roman"/>
          <w:color w:val="auto"/>
          <w:sz w:val="30"/>
          <w:szCs w:val="20"/>
          <w:lang w:val="zh-CN"/>
        </w:rPr>
        <w:t>一、收入决算情况说明</w:t>
      </w:r>
    </w:p>
    <w:p w14:paraId="0AF63DFA">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firstLineChars="200"/>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元江哈尼族彝族傣族自治县应急管理局2023年度收入合计7,401,025.89元。</w:t>
      </w:r>
      <w:bookmarkStart w:id="2" w:name="OLE_LINK2"/>
      <w:r>
        <w:rPr>
          <w:rFonts w:hint="eastAsia" w:ascii="仿宋" w:hAnsi="仿宋" w:eastAsia="仿宋" w:cs="Times New Roman"/>
          <w:color w:val="auto"/>
          <w:kern w:val="0"/>
          <w:sz w:val="30"/>
          <w:szCs w:val="20"/>
          <w:lang w:val="en-US" w:eastAsia="zh-CN"/>
        </w:rPr>
        <w:t>其中：财政拨款收入7,401,025.89元，占总收入的100.00%；上级补助收入0.00元，占总收入的0.00%；事业收入0.00元（含教育收费0.00元），占总收入的0.00%；经营收入0.00元，占总收入的0.00%；附属单位上缴收入0.00元，占总收入的0.00%；其他收入0.00元，占总收入的0.00%。与上年相比，收入合计减少3,608,115.23元，下降32.77%，主要原因是</w:t>
      </w:r>
      <w:bookmarkStart w:id="3" w:name="OLE_LINK1"/>
      <w:r>
        <w:rPr>
          <w:rFonts w:hint="eastAsia" w:ascii="仿宋" w:hAnsi="仿宋" w:eastAsia="仿宋" w:cs="Times New Roman"/>
          <w:color w:val="auto"/>
          <w:kern w:val="0"/>
          <w:sz w:val="30"/>
          <w:szCs w:val="20"/>
          <w:lang w:val="en-US" w:eastAsia="zh-CN"/>
        </w:rPr>
        <w:t>：人员经费拨款减少及项目资金减少。</w:t>
      </w:r>
      <w:bookmarkEnd w:id="3"/>
      <w:r>
        <w:rPr>
          <w:rFonts w:hint="eastAsia" w:ascii="仿宋" w:hAnsi="仿宋" w:eastAsia="仿宋" w:cs="Times New Roman"/>
          <w:color w:val="auto"/>
          <w:kern w:val="0"/>
          <w:sz w:val="30"/>
          <w:szCs w:val="20"/>
          <w:lang w:val="en-US" w:eastAsia="zh-CN"/>
        </w:rPr>
        <w:t>其中：财政拨款收入减少3,608,115.23元，下降32.77%，主要原因是：人员经费拨款减少及项目资金减少；上级补助收入增加0.00元，增长0.00%；事业收入增加0.00元，增长0.00%；经营收入增加0.00元，增长0.00%；附属单位上缴收入增加0.00元，增长0.00%；其他收入增加0.00元，增长0.00%。</w:t>
      </w:r>
      <w:bookmarkEnd w:id="2"/>
    </w:p>
    <w:p w14:paraId="7FC8D5B0">
      <w:pPr>
        <w:widowControl/>
        <w:spacing w:beforeLines="0" w:afterLines="0" w:line="590" w:lineRule="exact"/>
        <w:ind w:firstLine="600"/>
        <w:jc w:val="left"/>
        <w:rPr>
          <w:rFonts w:hint="eastAsia" w:ascii="Times New Roman" w:hAnsi="Times New Roman" w:eastAsia="Times New Roman" w:cs="Times New Roman"/>
          <w:color w:val="auto"/>
          <w:sz w:val="30"/>
          <w:szCs w:val="20"/>
          <w:lang w:val="zh-CN"/>
        </w:rPr>
      </w:pPr>
      <w:r>
        <w:rPr>
          <w:rFonts w:hint="eastAsia" w:ascii="黑体" w:hAnsi="黑体" w:eastAsia="黑体" w:cs="Times New Roman"/>
          <w:color w:val="auto"/>
          <w:sz w:val="30"/>
          <w:szCs w:val="20"/>
          <w:lang w:val="zh-CN"/>
        </w:rPr>
        <w:t>二、支出决算情况说明</w:t>
      </w:r>
    </w:p>
    <w:p w14:paraId="47F8074D">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元江哈尼族彝族傣族自治县应急管理局2023年度支出合计9,233,885.95元。其中：基本支出4,159,312.39元，占总支出的45.04%；项目支出5,074,573.56元，占总支出的54.96%；上缴上级支出0.00元，占总支出的0.00%；经营支出0.00元，占总支出的0.00%；对附属单位补助支出0.00元，占总支出的0.00%。与上年相比，支出合计减少245,669.41元，下降2.59%。主要原因：是本年度项目支出大幅减少。其中：基本支出增加428,577.27元，增长11.49%，</w:t>
      </w:r>
      <w:bookmarkStart w:id="4" w:name="OLE_LINK3"/>
      <w:r>
        <w:rPr>
          <w:rFonts w:hint="eastAsia" w:ascii="仿宋" w:hAnsi="仿宋" w:eastAsia="仿宋" w:cs="Times New Roman"/>
          <w:color w:val="auto"/>
          <w:kern w:val="0"/>
          <w:sz w:val="30"/>
          <w:szCs w:val="20"/>
          <w:lang w:val="en-US" w:eastAsia="zh-CN"/>
        </w:rPr>
        <w:t>主要原因是：应急事务管理行政运行经费增加；项目支出减少674,246.68元，下降11.73%，主要原因是本年度自然灾害救灾及恢复重建项目支出减少；上缴上级支出增加0.00元，增长0.00%；经营支出增加0.00元，增长0.00%；对附属单位补助支出增加0.00元，增长0.00%。</w:t>
      </w:r>
    </w:p>
    <w:bookmarkEnd w:id="4"/>
    <w:p w14:paraId="7C00445D">
      <w:pPr>
        <w:keepNext w:val="0"/>
        <w:keepLines w:val="0"/>
        <w:pageBreakBefore w:val="0"/>
        <w:widowControl/>
        <w:kinsoku/>
        <w:wordWrap/>
        <w:overflowPunct/>
        <w:topLinePunct w:val="0"/>
        <w:autoSpaceDE/>
        <w:autoSpaceDN/>
        <w:bidi w:val="0"/>
        <w:adjustRightInd/>
        <w:snapToGrid/>
        <w:spacing w:before="100" w:beforeLines="0" w:after="100" w:afterLines="0" w:line="580" w:lineRule="exact"/>
        <w:ind w:firstLine="601"/>
        <w:jc w:val="left"/>
        <w:textAlignment w:val="auto"/>
        <w:rPr>
          <w:rFonts w:hint="eastAsia" w:ascii="楷体" w:hAnsi="楷体" w:eastAsia="楷体" w:cs="Times New Roman"/>
          <w:color w:val="auto"/>
          <w:sz w:val="30"/>
          <w:szCs w:val="20"/>
          <w:lang w:val="zh-CN"/>
        </w:rPr>
      </w:pPr>
      <w:r>
        <w:rPr>
          <w:rFonts w:hint="eastAsia" w:ascii="楷体" w:hAnsi="楷体" w:eastAsia="楷体" w:cs="Times New Roman"/>
          <w:color w:val="auto"/>
          <w:sz w:val="30"/>
          <w:szCs w:val="20"/>
          <w:lang w:val="zh-CN"/>
        </w:rPr>
        <w:t>（一）基本支出情况</w:t>
      </w:r>
    </w:p>
    <w:p w14:paraId="05C9BC3B">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2023年度用于保障元江哈尼族彝族傣族自治县应急管理局机关、下属事业单位等机构正常运转的日常支出4,159,312.39元。其中：基本工资、津贴补贴等人员经费支出3,910,636.42元，占基本支出的94.02%；办公费、印刷费、水电费、办公设备购置等公用经费248,675.97元，占基本支出的5.98%。</w:t>
      </w:r>
    </w:p>
    <w:p w14:paraId="449EEC0E">
      <w:pPr>
        <w:keepNext w:val="0"/>
        <w:keepLines w:val="0"/>
        <w:pageBreakBefore w:val="0"/>
        <w:widowControl/>
        <w:kinsoku/>
        <w:wordWrap/>
        <w:overflowPunct/>
        <w:topLinePunct w:val="0"/>
        <w:autoSpaceDE/>
        <w:autoSpaceDN/>
        <w:bidi w:val="0"/>
        <w:adjustRightInd/>
        <w:snapToGrid/>
        <w:spacing w:before="100" w:beforeLines="0" w:after="100" w:afterLines="0" w:line="580" w:lineRule="exact"/>
        <w:ind w:firstLine="601"/>
        <w:jc w:val="left"/>
        <w:textAlignment w:val="auto"/>
        <w:rPr>
          <w:rFonts w:hint="eastAsia" w:ascii="楷体" w:hAnsi="楷体" w:eastAsia="楷体" w:cs="Times New Roman"/>
          <w:color w:val="auto"/>
          <w:sz w:val="30"/>
          <w:szCs w:val="20"/>
          <w:lang w:val="zh-CN"/>
        </w:rPr>
      </w:pPr>
      <w:r>
        <w:rPr>
          <w:rFonts w:hint="eastAsia" w:ascii="楷体" w:hAnsi="楷体" w:eastAsia="楷体" w:cs="Times New Roman"/>
          <w:color w:val="auto"/>
          <w:sz w:val="30"/>
          <w:szCs w:val="20"/>
          <w:lang w:val="zh-CN"/>
        </w:rPr>
        <w:t>（二）项目支出情况</w:t>
      </w:r>
    </w:p>
    <w:p w14:paraId="7548CD52">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2023年度用于保障元江哈尼族彝族傣族自治县应急管理局机构、下属事业单位等机构为完成特定的行政工作任务或事业发展目标，用于专项业务工作的经费支出5,074,573.56元。其中：基本建设类项目支出0.00元。具体项目开支及开展工作情况：</w:t>
      </w:r>
    </w:p>
    <w:p w14:paraId="4F9200FA">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1.完成支出执法办案工作经费26,071.96元，用于开展执法办案工作；</w:t>
      </w:r>
    </w:p>
    <w:p w14:paraId="6685EADB">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zh-CN"/>
        </w:rPr>
      </w:pPr>
      <w:r>
        <w:rPr>
          <w:rFonts w:hint="eastAsia" w:ascii="仿宋" w:hAnsi="仿宋" w:eastAsia="仿宋" w:cs="Times New Roman"/>
          <w:color w:val="auto"/>
          <w:kern w:val="0"/>
          <w:sz w:val="30"/>
          <w:szCs w:val="20"/>
          <w:lang w:val="en-US" w:eastAsia="zh-CN"/>
        </w:rPr>
        <w:t>2.完成支出2022年农村居民房屋保险政府补助资金134,232.00元，</w:t>
      </w:r>
      <w:r>
        <w:rPr>
          <w:rFonts w:hint="eastAsia" w:ascii="仿宋" w:hAnsi="仿宋" w:eastAsia="仿宋" w:cs="Times New Roman"/>
          <w:color w:val="auto"/>
          <w:kern w:val="0"/>
          <w:sz w:val="30"/>
          <w:szCs w:val="20"/>
          <w:lang w:val="zh-CN"/>
        </w:rPr>
        <w:t>用于农村居民房屋保险补助；</w:t>
      </w:r>
    </w:p>
    <w:p w14:paraId="395817CC">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zh-CN"/>
        </w:rPr>
      </w:pPr>
      <w:r>
        <w:rPr>
          <w:rFonts w:hint="eastAsia" w:ascii="仿宋" w:hAnsi="仿宋" w:eastAsia="仿宋" w:cs="Times New Roman"/>
          <w:color w:val="auto"/>
          <w:kern w:val="0"/>
          <w:sz w:val="30"/>
          <w:szCs w:val="20"/>
          <w:lang w:val="zh-CN"/>
        </w:rPr>
        <w:t>3.完成支出2019年省级安全生产专项转移支付资金23,227.60元，用于开展安全生产专项整治工作；</w:t>
      </w:r>
    </w:p>
    <w:p w14:paraId="43F146FB">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zh-CN"/>
        </w:rPr>
      </w:pPr>
      <w:r>
        <w:rPr>
          <w:rFonts w:hint="eastAsia" w:ascii="仿宋" w:hAnsi="仿宋" w:eastAsia="仿宋" w:cs="Times New Roman"/>
          <w:color w:val="auto"/>
          <w:kern w:val="0"/>
          <w:sz w:val="30"/>
          <w:szCs w:val="20"/>
          <w:lang w:val="zh-CN"/>
        </w:rPr>
        <w:t>4.完成支出2023年中央自然灾害救灾资金（第一批森林火灾救灾补助）40,000.00元，用于补助生活困难群众；</w:t>
      </w:r>
    </w:p>
    <w:p w14:paraId="68DC6269">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zh-CN"/>
        </w:rPr>
      </w:pPr>
      <w:r>
        <w:rPr>
          <w:rFonts w:hint="eastAsia" w:ascii="仿宋" w:hAnsi="仿宋" w:eastAsia="仿宋" w:cs="Times New Roman"/>
          <w:color w:val="auto"/>
          <w:kern w:val="0"/>
          <w:sz w:val="30"/>
          <w:szCs w:val="20"/>
          <w:lang w:val="zh-CN"/>
        </w:rPr>
        <w:t>5.完成支出2021年自然灾害防治体系建设补助资金预算（全国自然灾害综合风险普查经费）42.00元，用于购买受灾物资；</w:t>
      </w:r>
    </w:p>
    <w:p w14:paraId="0BE7E191">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zh-CN"/>
        </w:rPr>
      </w:pPr>
      <w:r>
        <w:rPr>
          <w:rFonts w:hint="eastAsia" w:ascii="仿宋" w:hAnsi="仿宋" w:eastAsia="仿宋" w:cs="Times New Roman"/>
          <w:color w:val="auto"/>
          <w:kern w:val="0"/>
          <w:sz w:val="30"/>
          <w:szCs w:val="20"/>
          <w:lang w:val="zh-CN"/>
        </w:rPr>
        <w:t>6.完成支出中央自然灾害救灾资金（2022-2023年冬春救助资金）2,497,000.00元，用于补助生活困难群众；</w:t>
      </w:r>
    </w:p>
    <w:p w14:paraId="5B3B4EB5">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zh-CN"/>
        </w:rPr>
      </w:pPr>
      <w:r>
        <w:rPr>
          <w:rFonts w:hint="eastAsia" w:ascii="仿宋" w:hAnsi="仿宋" w:eastAsia="仿宋" w:cs="Times New Roman"/>
          <w:color w:val="auto"/>
          <w:kern w:val="0"/>
          <w:sz w:val="30"/>
          <w:szCs w:val="20"/>
          <w:lang w:val="zh-CN"/>
        </w:rPr>
        <w:t>7.完成支出2023年抗旱应急经费300,000.00元，用于补助生活困难群众；</w:t>
      </w:r>
    </w:p>
    <w:p w14:paraId="2E3387FA">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zh-CN"/>
        </w:rPr>
      </w:pPr>
      <w:r>
        <w:rPr>
          <w:rFonts w:hint="eastAsia" w:ascii="仿宋" w:hAnsi="仿宋" w:eastAsia="仿宋" w:cs="Times New Roman"/>
          <w:color w:val="auto"/>
          <w:kern w:val="0"/>
          <w:sz w:val="30"/>
          <w:szCs w:val="20"/>
          <w:lang w:val="zh-CN"/>
        </w:rPr>
        <w:t>8.完成支出2023年省级冬春救助资金140,000.00元，用于补助生活困难群众；</w:t>
      </w:r>
    </w:p>
    <w:p w14:paraId="54736226">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zh-CN"/>
        </w:rPr>
      </w:pPr>
      <w:r>
        <w:rPr>
          <w:rFonts w:hint="eastAsia" w:ascii="仿宋" w:hAnsi="仿宋" w:eastAsia="仿宋" w:cs="Times New Roman"/>
          <w:color w:val="auto"/>
          <w:kern w:val="0"/>
          <w:sz w:val="30"/>
          <w:szCs w:val="20"/>
          <w:lang w:val="zh-CN"/>
        </w:rPr>
        <w:t>9.完成支出2022年市级自然灾害生活补助资金30,000.00元，用于补助生活困难群众；</w:t>
      </w:r>
    </w:p>
    <w:p w14:paraId="697DD44A">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zh-CN"/>
        </w:rPr>
      </w:pPr>
      <w:r>
        <w:rPr>
          <w:rFonts w:hint="eastAsia" w:ascii="仿宋" w:hAnsi="仿宋" w:eastAsia="仿宋" w:cs="Times New Roman"/>
          <w:color w:val="auto"/>
          <w:kern w:val="0"/>
          <w:sz w:val="30"/>
          <w:szCs w:val="20"/>
          <w:lang w:val="zh-CN"/>
        </w:rPr>
        <w:t>10.完成支出2019年市级自然灾害生活补助资金24,000.00元，用于补助生活困难群众；</w:t>
      </w:r>
    </w:p>
    <w:p w14:paraId="3515C291">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zh-CN"/>
        </w:rPr>
      </w:pPr>
      <w:r>
        <w:rPr>
          <w:rFonts w:hint="eastAsia" w:ascii="仿宋" w:hAnsi="仿宋" w:eastAsia="仿宋" w:cs="Times New Roman"/>
          <w:color w:val="auto"/>
          <w:kern w:val="0"/>
          <w:sz w:val="30"/>
          <w:szCs w:val="20"/>
          <w:lang w:val="zh-CN"/>
        </w:rPr>
        <w:t>11.完成支出紧急下达“11</w:t>
      </w:r>
      <w:r>
        <w:rPr>
          <w:rFonts w:hint="eastAsia" w:ascii="仿宋" w:hAnsi="仿宋" w:eastAsia="仿宋" w:cs="Times New Roman"/>
          <w:color w:val="auto"/>
          <w:kern w:val="0"/>
          <w:sz w:val="30"/>
          <w:szCs w:val="20"/>
          <w:lang w:val="en-US" w:eastAsia="zh-CN"/>
        </w:rPr>
        <w:t>.</w:t>
      </w:r>
      <w:r>
        <w:rPr>
          <w:rFonts w:hint="eastAsia" w:ascii="仿宋" w:hAnsi="仿宋" w:eastAsia="仿宋" w:cs="Times New Roman"/>
          <w:color w:val="auto"/>
          <w:kern w:val="0"/>
          <w:sz w:val="30"/>
          <w:szCs w:val="20"/>
          <w:lang w:val="zh-CN"/>
        </w:rPr>
        <w:t>19”云南红河5.0级地震应急救灾补助经费1,860,000.00元，用于补助生活困难群众。</w:t>
      </w:r>
    </w:p>
    <w:p w14:paraId="6BCAA44D">
      <w:pPr>
        <w:widowControl/>
        <w:spacing w:beforeLines="0" w:afterLines="0" w:line="590" w:lineRule="exact"/>
        <w:ind w:firstLine="600"/>
        <w:jc w:val="left"/>
        <w:rPr>
          <w:rFonts w:hint="eastAsia" w:ascii="黑体" w:hAnsi="黑体" w:eastAsia="黑体" w:cs="Times New Roman"/>
          <w:color w:val="auto"/>
          <w:sz w:val="30"/>
          <w:szCs w:val="20"/>
          <w:lang w:val="zh-CN"/>
        </w:rPr>
      </w:pPr>
      <w:r>
        <w:rPr>
          <w:rFonts w:hint="eastAsia" w:ascii="黑体" w:hAnsi="黑体" w:eastAsia="黑体" w:cs="Times New Roman"/>
          <w:color w:val="auto"/>
          <w:sz w:val="30"/>
          <w:szCs w:val="20"/>
          <w:lang w:val="zh-CN"/>
        </w:rPr>
        <w:t>三、一般公共预算财政拨款支出决算情况说明</w:t>
      </w:r>
    </w:p>
    <w:p w14:paraId="10E1715D">
      <w:pPr>
        <w:widowControl/>
        <w:spacing w:before="100" w:beforeLines="0" w:after="100" w:afterLines="0" w:line="360" w:lineRule="auto"/>
        <w:ind w:firstLine="600"/>
        <w:jc w:val="left"/>
        <w:rPr>
          <w:rFonts w:hint="eastAsia" w:ascii="楷体" w:hAnsi="楷体" w:eastAsia="楷体" w:cs="Times New Roman"/>
          <w:color w:val="auto"/>
          <w:sz w:val="30"/>
          <w:szCs w:val="20"/>
          <w:lang w:val="zh-CN"/>
        </w:rPr>
      </w:pPr>
      <w:r>
        <w:rPr>
          <w:rFonts w:hint="eastAsia" w:ascii="楷体" w:hAnsi="楷体" w:eastAsia="楷体" w:cs="Times New Roman"/>
          <w:color w:val="auto"/>
          <w:sz w:val="30"/>
          <w:szCs w:val="20"/>
          <w:lang w:val="zh-CN"/>
        </w:rPr>
        <w:t>（一）一般公共预算财政拨款支出决算总体情况</w:t>
      </w:r>
    </w:p>
    <w:p w14:paraId="49DB59C4">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zh-CN"/>
        </w:rPr>
      </w:pPr>
      <w:r>
        <w:rPr>
          <w:rFonts w:hint="eastAsia" w:ascii="仿宋" w:hAnsi="仿宋" w:eastAsia="仿宋" w:cs="Times New Roman"/>
          <w:color w:val="auto"/>
          <w:kern w:val="0"/>
          <w:sz w:val="30"/>
          <w:szCs w:val="20"/>
          <w:lang w:val="zh-CN"/>
        </w:rPr>
        <w:t>元江哈尼族彝族傣族自治县应急管理局2023年度一般公共预算财政拨款支出9,233,885.95元,占本年支出合计的100.00%。与上年相比减少189,996.43元，下降2.02%,主要原因是：因人员变动，人员经费支出减少。</w:t>
      </w:r>
    </w:p>
    <w:p w14:paraId="779FD37C">
      <w:pPr>
        <w:keepNext w:val="0"/>
        <w:keepLines w:val="0"/>
        <w:pageBreakBefore w:val="0"/>
        <w:widowControl/>
        <w:kinsoku/>
        <w:wordWrap/>
        <w:overflowPunct/>
        <w:topLinePunct w:val="0"/>
        <w:autoSpaceDE/>
        <w:autoSpaceDN/>
        <w:bidi w:val="0"/>
        <w:adjustRightInd/>
        <w:snapToGrid/>
        <w:spacing w:before="100" w:beforeLines="0" w:after="100" w:afterLines="0" w:line="580" w:lineRule="exact"/>
        <w:ind w:firstLine="601"/>
        <w:jc w:val="left"/>
        <w:textAlignment w:val="auto"/>
        <w:rPr>
          <w:rFonts w:hint="eastAsia" w:ascii="楷体" w:hAnsi="楷体" w:eastAsia="楷体" w:cs="Times New Roman"/>
          <w:color w:val="auto"/>
          <w:sz w:val="30"/>
          <w:szCs w:val="20"/>
          <w:lang w:val="zh-CN"/>
        </w:rPr>
      </w:pPr>
      <w:r>
        <w:rPr>
          <w:rFonts w:hint="eastAsia" w:ascii="楷体" w:hAnsi="楷体" w:eastAsia="楷体" w:cs="Times New Roman"/>
          <w:color w:val="auto"/>
          <w:sz w:val="30"/>
          <w:szCs w:val="20"/>
          <w:lang w:val="zh-CN"/>
        </w:rPr>
        <w:t>（二）一般公共预算财政拨款支出决算具体情况</w:t>
      </w:r>
    </w:p>
    <w:p w14:paraId="2E33C423">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1.一般公共服务（类）支出2,621.00元，占一般公共预算财政拨款总支出的0.03%。主要用于2022年年终一次性奖金；</w:t>
      </w:r>
    </w:p>
    <w:p w14:paraId="3BC0C63F">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2.外交（类）支出0.00元，占一般公共预算财政拨款总支出的0.00%。</w:t>
      </w:r>
    </w:p>
    <w:p w14:paraId="0CF47844">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rPr>
      </w:pPr>
      <w:r>
        <w:rPr>
          <w:rFonts w:hint="eastAsia" w:ascii="仿宋" w:hAnsi="仿宋" w:eastAsia="仿宋" w:cs="Times New Roman"/>
          <w:color w:val="auto"/>
          <w:kern w:val="0"/>
          <w:sz w:val="30"/>
          <w:szCs w:val="20"/>
          <w:lang w:val="en-US"/>
        </w:rPr>
        <w:t>3.国防（类）支出</w:t>
      </w:r>
      <w:r>
        <w:rPr>
          <w:rFonts w:hint="eastAsia" w:ascii="仿宋" w:hAnsi="仿宋" w:eastAsia="仿宋" w:cs="Times New Roman"/>
          <w:color w:val="auto"/>
          <w:kern w:val="0"/>
          <w:sz w:val="30"/>
          <w:szCs w:val="20"/>
          <w:lang w:val="zh-CN"/>
        </w:rPr>
        <w:t>0.00</w:t>
      </w:r>
      <w:r>
        <w:rPr>
          <w:rFonts w:hint="eastAsia" w:ascii="仿宋" w:hAnsi="仿宋" w:eastAsia="仿宋" w:cs="Times New Roman"/>
          <w:color w:val="auto"/>
          <w:kern w:val="0"/>
          <w:sz w:val="30"/>
          <w:szCs w:val="20"/>
          <w:lang w:val="en-US"/>
        </w:rPr>
        <w:t>元，占一般公共预算财政拨款总支出的</w:t>
      </w:r>
      <w:r>
        <w:rPr>
          <w:rFonts w:hint="eastAsia" w:ascii="仿宋" w:hAnsi="仿宋" w:eastAsia="仿宋" w:cs="Times New Roman"/>
          <w:color w:val="auto"/>
          <w:kern w:val="0"/>
          <w:sz w:val="30"/>
          <w:szCs w:val="20"/>
          <w:lang w:val="zh-CN"/>
        </w:rPr>
        <w:t>0.00</w:t>
      </w:r>
      <w:r>
        <w:rPr>
          <w:rFonts w:hint="eastAsia" w:ascii="仿宋" w:hAnsi="仿宋" w:eastAsia="仿宋" w:cs="Times New Roman"/>
          <w:color w:val="auto"/>
          <w:kern w:val="0"/>
          <w:sz w:val="30"/>
          <w:szCs w:val="20"/>
          <w:lang w:val="en-US"/>
        </w:rPr>
        <w:t>%。</w:t>
      </w:r>
    </w:p>
    <w:p w14:paraId="76E98B3C">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4.公共安全（类）支出0.00元，占一般公共预算财政拨款总支出的0.00%。</w:t>
      </w:r>
    </w:p>
    <w:p w14:paraId="6021A7E7">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5.教育（类）支出0.00元，占一般公共预算财政拨款总支出的0.00%。</w:t>
      </w:r>
    </w:p>
    <w:p w14:paraId="058CD5A7">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6.科学技术（类）支出0.00元，占一般公共预算财政拨款总支出的0.00%。</w:t>
      </w:r>
    </w:p>
    <w:p w14:paraId="2C2DF192">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7.文化旅游体育与传媒（类）支出0.00元，占一般公共预算财政拨款总支出的0.00%。</w:t>
      </w:r>
    </w:p>
    <w:p w14:paraId="2A8DDDA7">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8.社会保障和就业（类）支出576,050.64元，占一般公共预算财政拨款总支出的6.24%。主要用于养老保险费；</w:t>
      </w:r>
    </w:p>
    <w:p w14:paraId="125721D9">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9.卫生健康（类）支出257,008.46元，占一般公共预算财政拨款总支出的2.78%。主要用于医疗保险费；</w:t>
      </w:r>
    </w:p>
    <w:p w14:paraId="25C255F4">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10.节能环保（类）支出0.00元，占一般公共预算财政拨款总支出的0.00%。</w:t>
      </w:r>
    </w:p>
    <w:p w14:paraId="7D6A6815">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11.城乡社区（类）支出0.00元，占一般公共预算财政拨款总支出的0.00%。</w:t>
      </w:r>
    </w:p>
    <w:p w14:paraId="7B45BDA7">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12.农林水（类）支出0.00元，占一般公共预算财政拨款总支出的0.00%。</w:t>
      </w:r>
    </w:p>
    <w:p w14:paraId="31DCEF25">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13.交通运输（类）支出0.00元，占一般公共预算财政拨款总支出的0.00%。</w:t>
      </w:r>
    </w:p>
    <w:p w14:paraId="6455C8CA">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14.资源勘探工业信息等（类）支出0.00元，占一般公共预算财政拨款总支出的0.00%。</w:t>
      </w:r>
    </w:p>
    <w:p w14:paraId="613D744F">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15.商业服务业等（类）支出0.00元，占一般公共预算财政拨款总支出的0.00%。</w:t>
      </w:r>
    </w:p>
    <w:p w14:paraId="10319832">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16.金融（类）支出0.00元，占一般公共预算财政拨款总支出的0.00%。</w:t>
      </w:r>
    </w:p>
    <w:p w14:paraId="0375E152">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17.援助其他地区（类）支出0.00元，占一般公共预算财政拨款总支出的0.00%。</w:t>
      </w:r>
    </w:p>
    <w:p w14:paraId="7170C49F">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18.自然资源海洋气象等（类）支出0.00元，占一般公共预算财政拨款总支出的0.00%。</w:t>
      </w:r>
    </w:p>
    <w:p w14:paraId="27D8DB9E">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olor w:val="auto"/>
          <w:sz w:val="30"/>
          <w:lang w:val="en-US" w:eastAsia="zh-CN"/>
        </w:rPr>
        <w:t>19.住房保障（类）支出34,566.00元，占一般公共预算财政拨</w:t>
      </w:r>
      <w:r>
        <w:rPr>
          <w:rFonts w:hint="eastAsia" w:ascii="仿宋" w:hAnsi="仿宋" w:eastAsia="仿宋" w:cs="Times New Roman"/>
          <w:color w:val="auto"/>
          <w:kern w:val="0"/>
          <w:sz w:val="30"/>
          <w:szCs w:val="20"/>
          <w:lang w:val="en-US" w:eastAsia="zh-CN"/>
        </w:rPr>
        <w:t>款总支出的0.37%。主要用于住房公积金；</w:t>
      </w:r>
    </w:p>
    <w:p w14:paraId="05A76D54">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20.粮油物资储备（类）支出0.00元，占一般公共预算财政拨款总支出的0.00%。</w:t>
      </w:r>
    </w:p>
    <w:p w14:paraId="0C088196">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21.国有资本经营预算（类）支出0.00元，占一般公共预算财政拨款总支出的0.00%。</w:t>
      </w:r>
    </w:p>
    <w:p w14:paraId="722457AB">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22.灾害防治及应急管理（类）支出8,363,639.85元，占一般公共预算财政拨款总支出的90.58%。主要用于支出应急管理事务行政运行1,966,670.32元，事业运行1,322,395.97元，支出执法办案工作经费26,071.96元，支出2022年农村居民房屋保险政府补助资金134,232.00元，支出2019年省级安全生产专项转移支付资金23,227.60元，支出2023年中央自然灾害救灾资金（第一批森林火灾救灾补助）40,000.00元，支出2021年自然灾害防治体系建设补助资金预算（全国自然灾害综合风险普查经费）42.00元，支出中央自然灾害救灾资金（2022-2023年冬春救助资金）2,497,000.00元，支出2023年抗旱应急经费300,000.00元，支出2023年省级冬春救助资金140,000.00元，支出2022年市级自然灾害生活补助资金30,000.00元，支出2019年市级自然灾害生活补助资金24,000.00元，支出紧急下达“1119”云南红河5.0级地震应急救灾补助经费1,860,000.00元。</w:t>
      </w:r>
    </w:p>
    <w:p w14:paraId="1A5F195B">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23.其他（类）支出0.00元，占一般公共预算财政拨款总支出的0.00%。</w:t>
      </w:r>
    </w:p>
    <w:p w14:paraId="17D429B5">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24.债务还本（类）支出0.00元，占一般公共预算财政拨款总支出的0.00%。</w:t>
      </w:r>
    </w:p>
    <w:p w14:paraId="5018A78B">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25.债务付息（类）支出0.00元，占一般公共预算财政拨款总支出的0.00%。</w:t>
      </w:r>
    </w:p>
    <w:p w14:paraId="26E89C62">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s="Times New Roman"/>
          <w:color w:val="auto"/>
          <w:kern w:val="0"/>
          <w:sz w:val="30"/>
          <w:szCs w:val="20"/>
          <w:lang w:val="en-US" w:eastAsia="zh-CN"/>
        </w:rPr>
      </w:pPr>
      <w:r>
        <w:rPr>
          <w:rFonts w:hint="eastAsia" w:ascii="仿宋" w:hAnsi="仿宋" w:eastAsia="仿宋" w:cs="Times New Roman"/>
          <w:color w:val="auto"/>
          <w:kern w:val="0"/>
          <w:sz w:val="30"/>
          <w:szCs w:val="20"/>
          <w:lang w:val="en-US" w:eastAsia="zh-CN"/>
        </w:rPr>
        <w:t>26.抗疫特别国债安排（类）支出0.00元，占一般公共预算财政拨款总支出的0.00%。</w:t>
      </w:r>
    </w:p>
    <w:p w14:paraId="67B1F9DB">
      <w:pPr>
        <w:spacing w:beforeLines="0" w:afterLines="0" w:line="590" w:lineRule="exact"/>
        <w:ind w:firstLine="600"/>
        <w:jc w:val="both"/>
        <w:rPr>
          <w:rFonts w:hint="eastAsia" w:ascii="黑体" w:hAnsi="黑体" w:eastAsia="黑体"/>
          <w:sz w:val="30"/>
          <w:lang w:val="en-US"/>
        </w:rPr>
      </w:pPr>
      <w:r>
        <w:rPr>
          <w:rFonts w:hint="eastAsia" w:ascii="黑体" w:hAnsi="黑体" w:eastAsia="黑体"/>
          <w:sz w:val="30"/>
          <w:lang w:val="en-US"/>
        </w:rPr>
        <w:t>四、财政拨款</w:t>
      </w:r>
      <w:r>
        <w:rPr>
          <w:rFonts w:hint="default" w:ascii="黑体" w:hAnsi="黑体" w:eastAsia="黑体"/>
          <w:sz w:val="30"/>
          <w:lang w:val="en-US"/>
        </w:rPr>
        <w:t>“</w:t>
      </w:r>
      <w:r>
        <w:rPr>
          <w:rFonts w:hint="eastAsia" w:ascii="黑体" w:hAnsi="黑体" w:eastAsia="黑体"/>
          <w:sz w:val="30"/>
          <w:lang w:val="en-US"/>
        </w:rPr>
        <w:t>三公</w:t>
      </w:r>
      <w:r>
        <w:rPr>
          <w:rFonts w:hint="default" w:ascii="黑体" w:hAnsi="黑体" w:eastAsia="黑体"/>
          <w:sz w:val="30"/>
          <w:lang w:val="en-US"/>
        </w:rPr>
        <w:t>”</w:t>
      </w:r>
      <w:r>
        <w:rPr>
          <w:rFonts w:hint="eastAsia" w:ascii="黑体" w:hAnsi="黑体" w:eastAsia="黑体"/>
          <w:sz w:val="30"/>
          <w:lang w:val="en-US"/>
        </w:rPr>
        <w:t>经费支出决算情况说明</w:t>
      </w:r>
    </w:p>
    <w:p w14:paraId="1091C8DA">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sz w:val="30"/>
          <w:lang w:val="en-US"/>
        </w:rPr>
      </w:pPr>
      <w:r>
        <w:rPr>
          <w:rFonts w:hint="eastAsia" w:ascii="仿宋" w:hAnsi="仿宋" w:eastAsia="仿宋"/>
          <w:color w:val="auto"/>
          <w:sz w:val="30"/>
          <w:lang w:val="en-US"/>
        </w:rPr>
        <w:t>2023年度财政拨款“三公”经费支出决算中，</w:t>
      </w:r>
      <w:r>
        <w:rPr>
          <w:rFonts w:hint="eastAsia" w:ascii="仿宋" w:hAnsi="仿宋" w:eastAsia="仿宋" w:cs="Times New Roman"/>
          <w:b/>
          <w:color w:val="000000"/>
          <w:kern w:val="0"/>
          <w:sz w:val="30"/>
          <w:szCs w:val="20"/>
          <w:lang w:val="en-US"/>
        </w:rPr>
        <w:t>财政拨款“三公”经费</w:t>
      </w:r>
      <w:r>
        <w:rPr>
          <w:rFonts w:hint="eastAsia" w:ascii="仿宋" w:hAnsi="仿宋" w:eastAsia="仿宋"/>
          <w:color w:val="auto"/>
          <w:sz w:val="30"/>
          <w:lang w:val="en-US"/>
        </w:rPr>
        <w:t>支出年初预算为59,000.00元，决算为29,572.47元，完成年初预算的50.12%。其中：</w:t>
      </w:r>
      <w:r>
        <w:rPr>
          <w:rFonts w:hint="eastAsia" w:ascii="仿宋" w:hAnsi="仿宋" w:eastAsia="仿宋" w:cs="Times New Roman"/>
          <w:b/>
          <w:color w:val="000000"/>
          <w:kern w:val="0"/>
          <w:sz w:val="30"/>
          <w:szCs w:val="20"/>
          <w:lang w:val="en-US"/>
        </w:rPr>
        <w:t>因公出国（境）费</w:t>
      </w:r>
      <w:r>
        <w:rPr>
          <w:rFonts w:hint="eastAsia" w:ascii="仿宋" w:hAnsi="仿宋" w:eastAsia="仿宋"/>
          <w:color w:val="auto"/>
          <w:sz w:val="30"/>
          <w:lang w:val="en-US"/>
        </w:rPr>
        <w:t>支出年初预算为0.00元，决算为0.00元，占财政拨款“三公”经费总支出决算的0.00%；</w:t>
      </w:r>
      <w:r>
        <w:rPr>
          <w:rFonts w:hint="eastAsia" w:ascii="仿宋" w:hAnsi="仿宋" w:eastAsia="仿宋" w:cs="Times New Roman"/>
          <w:b/>
          <w:color w:val="000000"/>
          <w:kern w:val="0"/>
          <w:sz w:val="30"/>
          <w:szCs w:val="20"/>
          <w:lang w:val="en-US"/>
        </w:rPr>
        <w:t>公务用车购置费</w:t>
      </w:r>
      <w:r>
        <w:rPr>
          <w:rFonts w:hint="eastAsia" w:ascii="仿宋" w:hAnsi="仿宋" w:eastAsia="仿宋"/>
          <w:color w:val="auto"/>
          <w:sz w:val="30"/>
          <w:lang w:val="en-US"/>
        </w:rPr>
        <w:t>支出年初预算为0.00元，决算为0.00元，占财政拨款“三公”经费总支出决算的0.00%；</w:t>
      </w:r>
      <w:r>
        <w:rPr>
          <w:rFonts w:hint="eastAsia" w:ascii="仿宋" w:hAnsi="仿宋" w:eastAsia="仿宋" w:cs="Times New Roman"/>
          <w:b/>
          <w:color w:val="000000"/>
          <w:kern w:val="0"/>
          <w:sz w:val="30"/>
          <w:szCs w:val="20"/>
          <w:lang w:val="en-US"/>
        </w:rPr>
        <w:t>公务用车运行维护费</w:t>
      </w:r>
      <w:r>
        <w:rPr>
          <w:rFonts w:hint="eastAsia" w:ascii="仿宋" w:hAnsi="仿宋" w:eastAsia="仿宋"/>
          <w:color w:val="auto"/>
          <w:sz w:val="30"/>
          <w:lang w:val="en-US"/>
        </w:rPr>
        <w:t>支出年初预算为29,000.00元，决算为20,592.47元，占财政拨款“三公”经费总支出决算的69.63%，完成年初预算的71.01%；</w:t>
      </w:r>
      <w:r>
        <w:rPr>
          <w:rFonts w:hint="eastAsia" w:ascii="仿宋" w:hAnsi="仿宋" w:eastAsia="仿宋"/>
          <w:b/>
          <w:bCs/>
          <w:color w:val="auto"/>
          <w:sz w:val="30"/>
          <w:lang w:val="en-US"/>
        </w:rPr>
        <w:t>公务接待费</w:t>
      </w:r>
      <w:r>
        <w:rPr>
          <w:rFonts w:hint="eastAsia" w:ascii="仿宋" w:hAnsi="仿宋" w:eastAsia="仿宋"/>
          <w:color w:val="auto"/>
          <w:sz w:val="30"/>
          <w:lang w:val="en-US"/>
        </w:rPr>
        <w:t>支出年初预算为30,000.00元，决算为8,980.00元，占财政拨款“三公”经费总支出决算的30.37%，完成年初预算的29.93%，具体是国内接待费支出决算8,980.00元（其中：外事接待费支出决算0.00元），国（境）外接待费支出决算0.00元。其中：</w:t>
      </w:r>
    </w:p>
    <w:p w14:paraId="0185B646">
      <w:pPr>
        <w:keepNext w:val="0"/>
        <w:keepLines w:val="0"/>
        <w:pageBreakBefore w:val="0"/>
        <w:widowControl/>
        <w:kinsoku/>
        <w:wordWrap/>
        <w:overflowPunct/>
        <w:topLinePunct w:val="0"/>
        <w:autoSpaceDE/>
        <w:autoSpaceDN/>
        <w:bidi w:val="0"/>
        <w:adjustRightInd/>
        <w:snapToGrid/>
        <w:spacing w:before="100" w:beforeLines="0" w:after="100" w:afterLines="0" w:line="580" w:lineRule="exact"/>
        <w:ind w:firstLine="601"/>
        <w:jc w:val="left"/>
        <w:textAlignment w:val="auto"/>
        <w:rPr>
          <w:rFonts w:hint="eastAsia" w:ascii="楷体" w:hAnsi="楷体" w:eastAsia="楷体" w:cs="Times New Roman"/>
          <w:color w:val="auto"/>
          <w:sz w:val="30"/>
          <w:szCs w:val="20"/>
          <w:lang w:val="en-US"/>
        </w:rPr>
      </w:pPr>
      <w:r>
        <w:rPr>
          <w:rFonts w:hint="eastAsia" w:ascii="楷体" w:hAnsi="楷体" w:eastAsia="楷体" w:cs="Times New Roman"/>
          <w:color w:val="auto"/>
          <w:sz w:val="30"/>
          <w:szCs w:val="20"/>
          <w:lang w:val="en-US"/>
        </w:rPr>
        <w:t>(一)一般公共预算财政拨款</w:t>
      </w:r>
      <w:r>
        <w:rPr>
          <w:rFonts w:hint="default" w:ascii="楷体" w:hAnsi="楷体" w:eastAsia="楷体" w:cs="Times New Roman"/>
          <w:color w:val="auto"/>
          <w:sz w:val="30"/>
          <w:szCs w:val="20"/>
          <w:lang w:val="en-US"/>
        </w:rPr>
        <w:t>“</w:t>
      </w:r>
      <w:r>
        <w:rPr>
          <w:rFonts w:hint="eastAsia" w:ascii="楷体" w:hAnsi="楷体" w:eastAsia="楷体" w:cs="Times New Roman"/>
          <w:color w:val="auto"/>
          <w:sz w:val="30"/>
          <w:szCs w:val="20"/>
          <w:lang w:val="en-US"/>
        </w:rPr>
        <w:t>三公</w:t>
      </w:r>
      <w:r>
        <w:rPr>
          <w:rFonts w:hint="default" w:ascii="楷体" w:hAnsi="楷体" w:eastAsia="楷体" w:cs="Times New Roman"/>
          <w:color w:val="auto"/>
          <w:sz w:val="30"/>
          <w:szCs w:val="20"/>
          <w:lang w:val="en-US"/>
        </w:rPr>
        <w:t>”</w:t>
      </w:r>
      <w:r>
        <w:rPr>
          <w:rFonts w:hint="eastAsia" w:ascii="楷体" w:hAnsi="楷体" w:eastAsia="楷体" w:cs="Times New Roman"/>
          <w:color w:val="auto"/>
          <w:sz w:val="30"/>
          <w:szCs w:val="20"/>
          <w:lang w:val="en-US"/>
        </w:rPr>
        <w:t>经费支出决算总体情况</w:t>
      </w:r>
    </w:p>
    <w:p w14:paraId="658FDB02">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sz w:val="30"/>
          <w:lang w:val="en-US"/>
        </w:rPr>
      </w:pPr>
      <w:r>
        <w:rPr>
          <w:rFonts w:hint="eastAsia" w:ascii="仿宋" w:hAnsi="仿宋" w:eastAsia="仿宋"/>
          <w:color w:val="auto"/>
          <w:sz w:val="30"/>
          <w:lang w:val="en-US"/>
        </w:rPr>
        <w:t>元江哈尼族彝族傣族自治县应急管理局2023年度</w:t>
      </w:r>
      <w:r>
        <w:rPr>
          <w:rFonts w:hint="eastAsia" w:ascii="仿宋" w:hAnsi="仿宋" w:eastAsia="仿宋" w:cs="Times New Roman"/>
          <w:b/>
          <w:color w:val="auto"/>
          <w:sz w:val="30"/>
          <w:szCs w:val="20"/>
          <w:lang w:val="en-US"/>
        </w:rPr>
        <w:t>一般公共预算财政拨款“三公”经费</w:t>
      </w:r>
      <w:r>
        <w:rPr>
          <w:rFonts w:hint="eastAsia" w:ascii="仿宋" w:hAnsi="仿宋" w:eastAsia="仿宋"/>
          <w:color w:val="auto"/>
          <w:sz w:val="30"/>
          <w:lang w:val="en-US"/>
        </w:rPr>
        <w:t>支出年初预算为59,000.00元，支出决算为29,572.47元，完成年初预算的50.12%。其中：</w:t>
      </w:r>
      <w:r>
        <w:rPr>
          <w:rFonts w:hint="eastAsia" w:ascii="仿宋" w:hAnsi="仿宋" w:eastAsia="仿宋"/>
          <w:b/>
          <w:bCs/>
          <w:color w:val="auto"/>
          <w:sz w:val="30"/>
          <w:lang w:val="en-US"/>
        </w:rPr>
        <w:t>因公出国（境）费</w:t>
      </w:r>
      <w:r>
        <w:rPr>
          <w:rFonts w:hint="eastAsia" w:ascii="仿宋" w:hAnsi="仿宋" w:eastAsia="仿宋"/>
          <w:color w:val="auto"/>
          <w:sz w:val="30"/>
          <w:lang w:val="en-US"/>
        </w:rPr>
        <w:t>支出年初预算为0.00元，决算为0.00元，完成年初预算的0.00%；</w:t>
      </w:r>
      <w:r>
        <w:rPr>
          <w:rFonts w:hint="eastAsia" w:ascii="仿宋" w:hAnsi="仿宋" w:eastAsia="仿宋"/>
          <w:b/>
          <w:bCs/>
          <w:color w:val="auto"/>
          <w:sz w:val="30"/>
          <w:lang w:val="en-US"/>
        </w:rPr>
        <w:t>公务用车购置费</w:t>
      </w:r>
      <w:r>
        <w:rPr>
          <w:rFonts w:hint="eastAsia" w:ascii="仿宋" w:hAnsi="仿宋" w:eastAsia="仿宋"/>
          <w:color w:val="auto"/>
          <w:sz w:val="30"/>
          <w:lang w:val="en-US"/>
        </w:rPr>
        <w:t>支出年初预算为0.00元，决算为0.00元，完成年初预算的0.00%；</w:t>
      </w:r>
      <w:r>
        <w:rPr>
          <w:rFonts w:hint="eastAsia" w:ascii="仿宋" w:hAnsi="仿宋" w:eastAsia="仿宋" w:cs="Times New Roman"/>
          <w:b/>
          <w:color w:val="auto"/>
          <w:sz w:val="30"/>
          <w:szCs w:val="20"/>
          <w:lang w:val="en-US"/>
        </w:rPr>
        <w:t>公务用车运行维护费</w:t>
      </w:r>
      <w:r>
        <w:rPr>
          <w:rFonts w:hint="eastAsia" w:ascii="仿宋" w:hAnsi="仿宋" w:eastAsia="仿宋"/>
          <w:color w:val="auto"/>
          <w:sz w:val="30"/>
          <w:lang w:val="en-US"/>
        </w:rPr>
        <w:t>支出年初预算为29,000.00元，决算为20,592.47元，完成年初预算的71.01%；</w:t>
      </w:r>
      <w:r>
        <w:rPr>
          <w:rFonts w:hint="eastAsia" w:ascii="仿宋" w:hAnsi="仿宋" w:eastAsia="仿宋"/>
          <w:b/>
          <w:bCs/>
          <w:color w:val="auto"/>
          <w:sz w:val="30"/>
          <w:lang w:val="en-US"/>
        </w:rPr>
        <w:t>公务接待费</w:t>
      </w:r>
      <w:r>
        <w:rPr>
          <w:rFonts w:hint="eastAsia" w:ascii="仿宋" w:hAnsi="仿宋" w:eastAsia="仿宋"/>
          <w:color w:val="auto"/>
          <w:sz w:val="30"/>
          <w:lang w:val="en-US"/>
        </w:rPr>
        <w:t>支出年初预算为30,000.00元，决算为8,980.00元，完成年初预算的29.93%。2023年度一般公共预算财政拨款“三公”经费支出决算数小于年初预算数的主要原因</w:t>
      </w:r>
      <w:r>
        <w:rPr>
          <w:rFonts w:hint="eastAsia" w:ascii="仿宋" w:hAnsi="仿宋" w:eastAsia="仿宋"/>
          <w:color w:val="auto"/>
          <w:sz w:val="30"/>
          <w:lang w:val="en-US" w:eastAsia="zh-CN"/>
        </w:rPr>
        <w:t>为</w:t>
      </w:r>
      <w:r>
        <w:rPr>
          <w:rFonts w:hint="eastAsia" w:ascii="仿宋" w:hAnsi="仿宋" w:eastAsia="仿宋"/>
          <w:color w:val="auto"/>
          <w:sz w:val="30"/>
          <w:lang w:val="en-US"/>
        </w:rPr>
        <w:t>2023年公务用车修理费用还未报销。</w:t>
      </w:r>
    </w:p>
    <w:p w14:paraId="37589014">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仿宋" w:hAnsi="仿宋" w:eastAsia="仿宋"/>
          <w:color w:val="auto"/>
          <w:kern w:val="0"/>
          <w:sz w:val="30"/>
          <w:lang w:val="en-US" w:eastAsia="zh-CN"/>
        </w:rPr>
      </w:pPr>
      <w:r>
        <w:rPr>
          <w:rFonts w:hint="eastAsia" w:ascii="仿宋" w:hAnsi="仿宋" w:eastAsia="仿宋"/>
          <w:color w:val="auto"/>
          <w:kern w:val="0"/>
          <w:sz w:val="30"/>
          <w:lang w:val="en-US"/>
        </w:rPr>
        <w:t>2023年度一般公共预算财政拨款</w:t>
      </w:r>
      <w:r>
        <w:rPr>
          <w:rFonts w:hint="default" w:ascii="仿宋" w:hAnsi="仿宋" w:eastAsia="仿宋"/>
          <w:color w:val="auto"/>
          <w:kern w:val="0"/>
          <w:sz w:val="30"/>
          <w:lang w:val="en-US"/>
        </w:rPr>
        <w:t>“</w:t>
      </w:r>
      <w:r>
        <w:rPr>
          <w:rFonts w:hint="eastAsia" w:ascii="仿宋" w:hAnsi="仿宋" w:eastAsia="仿宋"/>
          <w:color w:val="auto"/>
          <w:kern w:val="0"/>
          <w:sz w:val="30"/>
          <w:lang w:val="en-US"/>
        </w:rPr>
        <w:t>三公</w:t>
      </w:r>
      <w:r>
        <w:rPr>
          <w:rFonts w:hint="default" w:ascii="仿宋" w:hAnsi="仿宋" w:eastAsia="仿宋"/>
          <w:color w:val="auto"/>
          <w:kern w:val="0"/>
          <w:sz w:val="30"/>
          <w:lang w:val="en-US"/>
        </w:rPr>
        <w:t>”</w:t>
      </w:r>
      <w:r>
        <w:rPr>
          <w:rFonts w:hint="eastAsia" w:ascii="仿宋" w:hAnsi="仿宋" w:eastAsia="仿宋"/>
          <w:color w:val="auto"/>
          <w:kern w:val="0"/>
          <w:sz w:val="30"/>
          <w:lang w:val="en-US"/>
        </w:rPr>
        <w:t>经费支出决算数比上年减少</w:t>
      </w:r>
      <w:r>
        <w:rPr>
          <w:rFonts w:hint="eastAsia" w:ascii="仿宋" w:hAnsi="仿宋" w:eastAsia="仿宋"/>
          <w:color w:val="auto"/>
          <w:kern w:val="0"/>
          <w:sz w:val="30"/>
          <w:lang w:val="en-US" w:eastAsia="zh-CN"/>
        </w:rPr>
        <w:t>23,807.24</w:t>
      </w:r>
      <w:r>
        <w:rPr>
          <w:rFonts w:hint="eastAsia" w:ascii="仿宋" w:hAnsi="仿宋" w:eastAsia="仿宋"/>
          <w:color w:val="auto"/>
          <w:kern w:val="0"/>
          <w:sz w:val="30"/>
          <w:lang w:val="en-US"/>
        </w:rPr>
        <w:t>元，下降</w:t>
      </w:r>
      <w:r>
        <w:rPr>
          <w:rFonts w:hint="eastAsia" w:ascii="仿宋" w:hAnsi="仿宋" w:eastAsia="仿宋"/>
          <w:color w:val="auto"/>
          <w:kern w:val="0"/>
          <w:sz w:val="30"/>
          <w:lang w:val="en-US" w:eastAsia="zh-CN"/>
        </w:rPr>
        <w:t>44.57</w:t>
      </w:r>
      <w:r>
        <w:rPr>
          <w:rFonts w:hint="eastAsia" w:ascii="仿宋" w:hAnsi="仿宋" w:eastAsia="仿宋"/>
          <w:color w:val="auto"/>
          <w:kern w:val="0"/>
          <w:sz w:val="30"/>
          <w:lang w:val="en-US"/>
        </w:rPr>
        <w:t>%。其中：因公出国（境）费支出决算</w:t>
      </w:r>
      <w:r>
        <w:rPr>
          <w:rFonts w:hint="eastAsia" w:ascii="仿宋" w:hAnsi="仿宋" w:eastAsia="仿宋"/>
          <w:color w:val="auto"/>
          <w:kern w:val="0"/>
          <w:sz w:val="30"/>
          <w:lang w:val="en-US" w:eastAsia="zh-CN"/>
        </w:rPr>
        <w:t>为0.00</w:t>
      </w:r>
      <w:r>
        <w:rPr>
          <w:rFonts w:hint="eastAsia" w:ascii="仿宋" w:hAnsi="仿宋" w:eastAsia="仿宋"/>
          <w:color w:val="auto"/>
          <w:kern w:val="0"/>
          <w:sz w:val="30"/>
          <w:lang w:val="en-US"/>
        </w:rPr>
        <w:t>元，增长</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%；公务用车购置费支出决算</w:t>
      </w:r>
      <w:r>
        <w:rPr>
          <w:rFonts w:hint="eastAsia" w:ascii="仿宋" w:hAnsi="仿宋" w:eastAsia="仿宋"/>
          <w:color w:val="auto"/>
          <w:kern w:val="0"/>
          <w:sz w:val="30"/>
          <w:lang w:val="en-US" w:eastAsia="zh-CN"/>
        </w:rPr>
        <w:t>为0.00</w:t>
      </w:r>
      <w:r>
        <w:rPr>
          <w:rFonts w:hint="eastAsia" w:ascii="仿宋" w:hAnsi="仿宋" w:eastAsia="仿宋"/>
          <w:color w:val="auto"/>
          <w:kern w:val="0"/>
          <w:sz w:val="30"/>
          <w:lang w:val="en-US"/>
        </w:rPr>
        <w:t>元，增长</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%；公务用车运行维护费支出决算增加</w:t>
      </w:r>
      <w:r>
        <w:rPr>
          <w:rFonts w:hint="eastAsia" w:ascii="仿宋" w:hAnsi="仿宋" w:eastAsia="仿宋"/>
          <w:color w:val="auto"/>
          <w:kern w:val="0"/>
          <w:sz w:val="30"/>
          <w:lang w:val="en-US" w:eastAsia="zh-CN"/>
        </w:rPr>
        <w:t>15,562.76</w:t>
      </w:r>
      <w:r>
        <w:rPr>
          <w:rFonts w:hint="eastAsia" w:ascii="仿宋" w:hAnsi="仿宋" w:eastAsia="仿宋"/>
          <w:color w:val="auto"/>
          <w:kern w:val="0"/>
          <w:sz w:val="30"/>
          <w:lang w:val="en-US"/>
        </w:rPr>
        <w:t>元，增长</w:t>
      </w:r>
      <w:r>
        <w:rPr>
          <w:rFonts w:hint="eastAsia" w:ascii="仿宋" w:hAnsi="仿宋" w:eastAsia="仿宋"/>
          <w:color w:val="auto"/>
          <w:kern w:val="0"/>
          <w:sz w:val="30"/>
          <w:lang w:val="en-US" w:eastAsia="zh-CN"/>
        </w:rPr>
        <w:t>309.42</w:t>
      </w:r>
      <w:r>
        <w:rPr>
          <w:rFonts w:hint="eastAsia" w:ascii="仿宋" w:hAnsi="仿宋" w:eastAsia="仿宋"/>
          <w:color w:val="auto"/>
          <w:kern w:val="0"/>
          <w:sz w:val="30"/>
          <w:lang w:val="en-US"/>
        </w:rPr>
        <w:t>%；公务接待费支出决算减少</w:t>
      </w:r>
      <w:r>
        <w:rPr>
          <w:rFonts w:hint="eastAsia" w:ascii="仿宋" w:hAnsi="仿宋" w:eastAsia="仿宋"/>
          <w:color w:val="auto"/>
          <w:kern w:val="0"/>
          <w:sz w:val="30"/>
          <w:lang w:val="en-US" w:eastAsia="zh-CN"/>
        </w:rPr>
        <w:t>39,370.00</w:t>
      </w:r>
      <w:r>
        <w:rPr>
          <w:rFonts w:hint="eastAsia" w:ascii="仿宋" w:hAnsi="仿宋" w:eastAsia="仿宋"/>
          <w:color w:val="auto"/>
          <w:kern w:val="0"/>
          <w:sz w:val="30"/>
          <w:lang w:val="en-US"/>
        </w:rPr>
        <w:t>元，下降</w:t>
      </w:r>
      <w:r>
        <w:rPr>
          <w:rFonts w:hint="eastAsia" w:ascii="仿宋" w:hAnsi="仿宋" w:eastAsia="仿宋"/>
          <w:color w:val="auto"/>
          <w:kern w:val="0"/>
          <w:sz w:val="30"/>
          <w:lang w:val="en-US" w:eastAsia="zh-CN"/>
        </w:rPr>
        <w:t>81.43</w:t>
      </w:r>
      <w:r>
        <w:rPr>
          <w:rFonts w:hint="eastAsia" w:ascii="仿宋" w:hAnsi="仿宋" w:eastAsia="仿宋"/>
          <w:color w:val="auto"/>
          <w:kern w:val="0"/>
          <w:sz w:val="30"/>
          <w:lang w:val="en-US"/>
        </w:rPr>
        <w:t>%</w:t>
      </w:r>
      <w:r>
        <w:rPr>
          <w:rFonts w:hint="eastAsia" w:ascii="仿宋" w:hAnsi="仿宋" w:eastAsia="仿宋"/>
          <w:color w:val="auto"/>
          <w:kern w:val="0"/>
          <w:sz w:val="30"/>
          <w:lang w:val="en-US" w:eastAsia="zh-CN"/>
        </w:rPr>
        <w:t>。</w:t>
      </w:r>
      <w:r>
        <w:rPr>
          <w:rFonts w:hint="eastAsia" w:ascii="仿宋" w:hAnsi="仿宋" w:eastAsia="仿宋"/>
          <w:color w:val="auto"/>
          <w:kern w:val="0"/>
          <w:sz w:val="30"/>
          <w:lang w:val="en-US"/>
        </w:rPr>
        <w:t>2023年度一般公共预算财政拨款</w:t>
      </w:r>
      <w:r>
        <w:rPr>
          <w:rFonts w:hint="default" w:ascii="仿宋" w:hAnsi="仿宋" w:eastAsia="仿宋"/>
          <w:color w:val="auto"/>
          <w:kern w:val="0"/>
          <w:sz w:val="30"/>
          <w:lang w:val="en-US"/>
        </w:rPr>
        <w:t>“</w:t>
      </w:r>
      <w:r>
        <w:rPr>
          <w:rFonts w:hint="eastAsia" w:ascii="仿宋" w:hAnsi="仿宋" w:eastAsia="仿宋"/>
          <w:color w:val="auto"/>
          <w:kern w:val="0"/>
          <w:sz w:val="30"/>
          <w:lang w:val="en-US"/>
        </w:rPr>
        <w:t>三公</w:t>
      </w:r>
      <w:r>
        <w:rPr>
          <w:rFonts w:hint="default" w:ascii="仿宋" w:hAnsi="仿宋" w:eastAsia="仿宋"/>
          <w:color w:val="auto"/>
          <w:kern w:val="0"/>
          <w:sz w:val="30"/>
          <w:lang w:val="en-US"/>
        </w:rPr>
        <w:t>”</w:t>
      </w:r>
      <w:r>
        <w:rPr>
          <w:rFonts w:hint="eastAsia" w:ascii="仿宋" w:hAnsi="仿宋" w:eastAsia="仿宋"/>
          <w:color w:val="auto"/>
          <w:kern w:val="0"/>
          <w:sz w:val="30"/>
          <w:lang w:val="en-US"/>
        </w:rPr>
        <w:t>经费支出决算减少的主要原因是</w:t>
      </w:r>
      <w:r>
        <w:rPr>
          <w:rFonts w:hint="eastAsia" w:ascii="仿宋" w:hAnsi="仿宋" w:eastAsia="仿宋"/>
          <w:color w:val="auto"/>
          <w:kern w:val="0"/>
          <w:sz w:val="30"/>
          <w:lang w:val="en-US" w:eastAsia="zh-CN"/>
        </w:rPr>
        <w:t>2022年报销2019年至2022年未报销公务接待费。</w:t>
      </w:r>
    </w:p>
    <w:p w14:paraId="1C9C3AB3">
      <w:pPr>
        <w:keepNext w:val="0"/>
        <w:keepLines w:val="0"/>
        <w:pageBreakBefore w:val="0"/>
        <w:widowControl/>
        <w:kinsoku/>
        <w:wordWrap/>
        <w:overflowPunct/>
        <w:topLinePunct w:val="0"/>
        <w:autoSpaceDE/>
        <w:autoSpaceDN/>
        <w:bidi w:val="0"/>
        <w:adjustRightInd/>
        <w:snapToGrid/>
        <w:spacing w:before="100" w:beforeLines="0" w:after="100" w:afterLines="0" w:line="580" w:lineRule="exact"/>
        <w:ind w:firstLine="601"/>
        <w:jc w:val="left"/>
        <w:textAlignment w:val="auto"/>
        <w:rPr>
          <w:rFonts w:hint="eastAsia" w:ascii="楷体" w:hAnsi="楷体" w:eastAsia="楷体" w:cs="Times New Roman"/>
          <w:color w:val="auto"/>
          <w:sz w:val="30"/>
          <w:szCs w:val="20"/>
          <w:lang w:val="en-US"/>
        </w:rPr>
      </w:pPr>
      <w:r>
        <w:rPr>
          <w:rFonts w:hint="eastAsia" w:ascii="楷体" w:hAnsi="楷体" w:eastAsia="楷体" w:cs="Times New Roman"/>
          <w:color w:val="auto"/>
          <w:sz w:val="30"/>
          <w:szCs w:val="20"/>
          <w:lang w:val="en-US"/>
        </w:rPr>
        <w:t>(二) 一般公共预算财政拨款</w:t>
      </w:r>
      <w:r>
        <w:rPr>
          <w:rFonts w:hint="default" w:ascii="楷体" w:hAnsi="楷体" w:eastAsia="楷体" w:cs="Times New Roman"/>
          <w:color w:val="auto"/>
          <w:sz w:val="30"/>
          <w:szCs w:val="20"/>
          <w:lang w:val="en-US"/>
        </w:rPr>
        <w:t>“</w:t>
      </w:r>
      <w:r>
        <w:rPr>
          <w:rFonts w:hint="eastAsia" w:ascii="楷体" w:hAnsi="楷体" w:eastAsia="楷体" w:cs="Times New Roman"/>
          <w:color w:val="auto"/>
          <w:sz w:val="30"/>
          <w:szCs w:val="20"/>
          <w:lang w:val="en-US"/>
        </w:rPr>
        <w:t>三公</w:t>
      </w:r>
      <w:r>
        <w:rPr>
          <w:rFonts w:hint="default" w:ascii="楷体" w:hAnsi="楷体" w:eastAsia="楷体" w:cs="Times New Roman"/>
          <w:color w:val="auto"/>
          <w:sz w:val="30"/>
          <w:szCs w:val="20"/>
          <w:lang w:val="en-US"/>
        </w:rPr>
        <w:t>”</w:t>
      </w:r>
      <w:r>
        <w:rPr>
          <w:rFonts w:hint="eastAsia" w:ascii="楷体" w:hAnsi="楷体" w:eastAsia="楷体" w:cs="Times New Roman"/>
          <w:color w:val="auto"/>
          <w:sz w:val="30"/>
          <w:szCs w:val="20"/>
          <w:lang w:val="en-US"/>
        </w:rPr>
        <w:t>经费支出实物量的具体情况</w:t>
      </w:r>
    </w:p>
    <w:p w14:paraId="1C3B4CC8">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kern w:val="0"/>
          <w:sz w:val="30"/>
          <w:lang w:val="en-US"/>
        </w:rPr>
      </w:pPr>
      <w:r>
        <w:rPr>
          <w:rFonts w:hint="eastAsia" w:ascii="仿宋" w:hAnsi="仿宋" w:eastAsia="仿宋"/>
          <w:color w:val="auto"/>
          <w:kern w:val="0"/>
          <w:sz w:val="30"/>
          <w:lang w:val="en-US"/>
        </w:rPr>
        <w:t>1.安排因公出国（境）团组0个，累计0人次。</w:t>
      </w:r>
    </w:p>
    <w:p w14:paraId="0488DDB4">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sz w:val="30"/>
          <w:lang w:val="en-US" w:eastAsia="zh-CN"/>
        </w:rPr>
      </w:pPr>
      <w:r>
        <w:rPr>
          <w:rFonts w:hint="eastAsia" w:ascii="仿宋" w:hAnsi="仿宋" w:eastAsia="仿宋"/>
          <w:color w:val="auto"/>
          <w:sz w:val="30"/>
          <w:lang w:val="en-US" w:eastAsia="zh-CN"/>
        </w:rPr>
        <w:t>2.公务用车购置及运行维护费支出20,592.47元。其中：</w:t>
      </w:r>
    </w:p>
    <w:p w14:paraId="6E06C12D">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sz w:val="30"/>
          <w:lang w:val="en-US" w:eastAsia="zh-CN"/>
        </w:rPr>
      </w:pPr>
      <w:r>
        <w:rPr>
          <w:rFonts w:hint="eastAsia" w:ascii="仿宋" w:hAnsi="仿宋" w:eastAsia="仿宋"/>
          <w:color w:val="auto"/>
          <w:sz w:val="30"/>
          <w:lang w:val="en-US" w:eastAsia="zh-CN"/>
        </w:rPr>
        <w:t>公务用车购置支出0.00元，本年购置车辆0辆。</w:t>
      </w:r>
    </w:p>
    <w:p w14:paraId="5BE79D6B">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sz w:val="30"/>
          <w:lang w:val="en-US" w:eastAsia="zh-CN"/>
        </w:rPr>
      </w:pPr>
      <w:r>
        <w:rPr>
          <w:rFonts w:hint="eastAsia" w:ascii="仿宋" w:hAnsi="仿宋" w:eastAsia="仿宋"/>
          <w:color w:val="auto"/>
          <w:sz w:val="30"/>
          <w:lang w:val="en-US" w:eastAsia="zh-CN"/>
        </w:rPr>
        <w:t>公务用车运行维护费支出20,592.47元。开支一般公共预算财政拨款的公务用车保有量为1辆。主要用于安全生产监督检查和应急处置所需车辆燃料费、维修费、过路过桥费、保险费等。</w:t>
      </w:r>
    </w:p>
    <w:p w14:paraId="1053A6AE">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sz w:val="30"/>
          <w:lang w:val="en-US" w:eastAsia="zh-CN"/>
        </w:rPr>
      </w:pPr>
      <w:r>
        <w:rPr>
          <w:rFonts w:hint="eastAsia" w:ascii="仿宋" w:hAnsi="仿宋" w:eastAsia="仿宋"/>
          <w:color w:val="auto"/>
          <w:sz w:val="30"/>
          <w:lang w:val="en-US" w:eastAsia="zh-CN"/>
        </w:rPr>
        <w:t>3.公务接待费支出8,980.00元。其中：安排国内公务接待17批次（其中：外事接待0批次），接待人次128人（其中：外事接待人次0人）。主要用于2023年安全生产，救灾减灾，行政执法方面发生的接待支出。</w:t>
      </w:r>
    </w:p>
    <w:p w14:paraId="7D40BF59">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sz w:val="30"/>
          <w:lang w:val="en-US" w:eastAsia="zh-CN"/>
        </w:rPr>
      </w:pPr>
      <w:r>
        <w:rPr>
          <w:rFonts w:hint="eastAsia" w:ascii="仿宋" w:hAnsi="仿宋" w:eastAsia="仿宋"/>
          <w:color w:val="auto"/>
          <w:sz w:val="30"/>
          <w:lang w:val="en-US" w:eastAsia="zh-CN"/>
        </w:rPr>
        <w:t>国（境）外接待费支出0.00元，共安排国（境）外公务接待0批次，接待人次0人。</w:t>
      </w:r>
    </w:p>
    <w:p w14:paraId="42BF22FA">
      <w:pPr>
        <w:widowControl/>
        <w:spacing w:beforeLines="0" w:afterLines="0" w:line="590" w:lineRule="exact"/>
        <w:jc w:val="center"/>
        <w:rPr>
          <w:rFonts w:hint="eastAsia" w:ascii="黑体" w:hAnsi="黑体" w:eastAsia="黑体" w:cs="Times New Roman"/>
          <w:color w:val="auto"/>
          <w:sz w:val="32"/>
          <w:szCs w:val="20"/>
          <w:lang w:val="zh-CN"/>
        </w:rPr>
      </w:pPr>
      <w:r>
        <w:rPr>
          <w:rFonts w:hint="eastAsia" w:ascii="黑体" w:hAnsi="黑体" w:eastAsia="黑体" w:cs="Times New Roman"/>
          <w:color w:val="auto"/>
          <w:sz w:val="32"/>
          <w:szCs w:val="20"/>
          <w:lang w:val="zh-CN"/>
        </w:rPr>
        <w:t>第四部分  其他重要事项及相关口径情况说明</w:t>
      </w:r>
    </w:p>
    <w:p w14:paraId="2A1CB842">
      <w:pPr>
        <w:widowControl/>
        <w:spacing w:beforeLines="0" w:afterLines="0" w:line="590" w:lineRule="exact"/>
        <w:ind w:firstLine="600"/>
        <w:jc w:val="left"/>
        <w:rPr>
          <w:rFonts w:hint="eastAsia" w:ascii="黑体" w:hAnsi="黑体" w:eastAsia="黑体" w:cs="Times New Roman"/>
          <w:color w:val="auto"/>
          <w:sz w:val="30"/>
          <w:szCs w:val="20"/>
          <w:lang w:val="en-US"/>
        </w:rPr>
      </w:pPr>
      <w:r>
        <w:rPr>
          <w:rFonts w:hint="eastAsia" w:ascii="黑体" w:hAnsi="黑体" w:eastAsia="黑体" w:cs="Times New Roman"/>
          <w:color w:val="auto"/>
          <w:sz w:val="30"/>
          <w:szCs w:val="20"/>
          <w:lang w:val="en-US"/>
        </w:rPr>
        <w:t>一、机关运行经费支出情况</w:t>
      </w:r>
    </w:p>
    <w:p w14:paraId="096E5B72">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sz w:val="30"/>
          <w:lang w:val="en-US" w:eastAsia="zh-CN"/>
        </w:rPr>
      </w:pPr>
      <w:r>
        <w:rPr>
          <w:rFonts w:hint="eastAsia" w:ascii="仿宋" w:hAnsi="仿宋" w:eastAsia="仿宋"/>
          <w:color w:val="auto"/>
          <w:sz w:val="30"/>
          <w:lang w:val="en-US" w:eastAsia="zh-CN"/>
        </w:rPr>
        <w:t>元江哈尼族彝族傣族自治县应急管理局2023年机关运行经费支出248,675.97元，比上年增加31,300.99元，增长14.40%，主要原因上年部分办公费在2023年报销。部门机关运行经费主要用于办公费、会议费、其他交通费、劳务费等。</w:t>
      </w:r>
    </w:p>
    <w:p w14:paraId="59A1C2C0">
      <w:pPr>
        <w:widowControl/>
        <w:spacing w:beforeLines="0" w:afterLines="0" w:line="590" w:lineRule="exact"/>
        <w:ind w:firstLine="600"/>
        <w:jc w:val="left"/>
        <w:rPr>
          <w:rFonts w:hint="eastAsia" w:ascii="黑体" w:hAnsi="黑体" w:eastAsia="黑体" w:cs="Times New Roman"/>
          <w:color w:val="auto"/>
          <w:sz w:val="30"/>
          <w:szCs w:val="20"/>
          <w:lang w:val="en-US"/>
        </w:rPr>
      </w:pPr>
      <w:r>
        <w:rPr>
          <w:rFonts w:hint="eastAsia" w:ascii="黑体" w:hAnsi="黑体" w:eastAsia="黑体" w:cs="Times New Roman"/>
          <w:color w:val="auto"/>
          <w:sz w:val="30"/>
          <w:szCs w:val="20"/>
          <w:lang w:val="en-US"/>
        </w:rPr>
        <w:t>二、国有资产占用情况</w:t>
      </w:r>
    </w:p>
    <w:p w14:paraId="1B2B99D9">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sz w:val="30"/>
          <w:lang w:val="en-US" w:eastAsia="zh-CN"/>
        </w:rPr>
      </w:pPr>
      <w:r>
        <w:rPr>
          <w:rFonts w:hint="eastAsia" w:ascii="仿宋" w:hAnsi="仿宋" w:eastAsia="仿宋"/>
          <w:color w:val="auto"/>
          <w:sz w:val="30"/>
          <w:lang w:val="en-US" w:eastAsia="zh-CN"/>
        </w:rPr>
        <w:t>截至2023年末，元江哈尼族彝族傣族自治县应急管理局资产总额900,648.75元，其中，流动资产212，661.45元，固定资产687,987.30元（净值），对外投资及有价证券0.00元，在建工程0.00元，无形资产0.00元（净值），其他资产0.00元（净值）（具体内容详见附表 国有资产使用情况表）。与上年相比，本年资产总额减少1,708,001.07元，其中固定资产增加237,865.77元。处置房屋建筑物0.00平方米，账面原值0.00元；处置车辆0辆，账面原值0.00元；报废报损资产5项，账面原值14,219.00元，实现资产处置收入0.00元；出租房屋0.00平方米，账面原值0.00元，实现资产使用收入0.00元。</w:t>
      </w:r>
    </w:p>
    <w:p w14:paraId="133127AF">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sz w:val="30"/>
          <w:lang w:val="en-US" w:eastAsia="zh-CN"/>
        </w:rPr>
      </w:pPr>
      <w:r>
        <w:rPr>
          <w:rFonts w:hint="eastAsia" w:ascii="仿宋" w:hAnsi="仿宋" w:eastAsia="仿宋"/>
          <w:color w:val="auto"/>
          <w:sz w:val="30"/>
          <w:lang w:val="en-US" w:eastAsia="zh-CN"/>
        </w:rPr>
        <w:t>（国有资产占有使用情况表详见附表）</w:t>
      </w:r>
    </w:p>
    <w:p w14:paraId="77D260A0">
      <w:pPr>
        <w:widowControl/>
        <w:spacing w:beforeLines="0" w:afterLines="0" w:line="590" w:lineRule="exact"/>
        <w:ind w:firstLine="600"/>
        <w:jc w:val="left"/>
        <w:rPr>
          <w:rFonts w:hint="eastAsia" w:ascii="黑体" w:hAnsi="黑体" w:eastAsia="黑体" w:cs="Times New Roman"/>
          <w:color w:val="auto"/>
          <w:sz w:val="30"/>
          <w:szCs w:val="20"/>
          <w:lang w:val="zh-CN"/>
        </w:rPr>
      </w:pPr>
      <w:r>
        <w:rPr>
          <w:rFonts w:hint="eastAsia" w:ascii="黑体" w:hAnsi="黑体" w:eastAsia="黑体" w:cs="Times New Roman"/>
          <w:color w:val="auto"/>
          <w:sz w:val="30"/>
          <w:szCs w:val="20"/>
          <w:lang w:val="zh-CN"/>
        </w:rPr>
        <w:t>三、政府采购支出情况</w:t>
      </w:r>
    </w:p>
    <w:p w14:paraId="497B23C0">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sz w:val="30"/>
          <w:lang w:val="en-US" w:eastAsia="zh-CN"/>
        </w:rPr>
      </w:pPr>
      <w:r>
        <w:rPr>
          <w:rFonts w:hint="eastAsia" w:ascii="仿宋" w:hAnsi="仿宋" w:eastAsia="仿宋"/>
          <w:color w:val="auto"/>
          <w:sz w:val="30"/>
          <w:lang w:val="en-US" w:eastAsia="zh-CN"/>
        </w:rPr>
        <w:t>2023年度，单位政府采购支出总额4,572.47元，其中：政府采购货物支出0.00元；政府采购工程支出0.00元；政府采购服务支出4,572.47元。授予中小企业合同金额0.00元，其中：授予小微企业合同金额0.00元。</w:t>
      </w:r>
    </w:p>
    <w:p w14:paraId="17E4456A">
      <w:pPr>
        <w:widowControl/>
        <w:spacing w:beforeLines="0" w:afterLines="0" w:line="590" w:lineRule="exact"/>
        <w:ind w:firstLine="600"/>
        <w:jc w:val="left"/>
        <w:rPr>
          <w:rFonts w:hint="eastAsia" w:ascii="黑体" w:hAnsi="黑体" w:eastAsia="黑体" w:cs="Times New Roman"/>
          <w:color w:val="auto"/>
          <w:sz w:val="30"/>
          <w:szCs w:val="20"/>
          <w:lang w:val="en-US" w:eastAsia="zh-CN"/>
        </w:rPr>
      </w:pPr>
      <w:r>
        <w:rPr>
          <w:rFonts w:hint="eastAsia" w:ascii="黑体" w:hAnsi="黑体" w:eastAsia="黑体" w:cs="Times New Roman"/>
          <w:color w:val="auto"/>
          <w:sz w:val="30"/>
          <w:szCs w:val="20"/>
          <w:lang w:val="en-US" w:eastAsia="zh-CN"/>
        </w:rPr>
        <w:t>四、部门绩效自评情况</w:t>
      </w:r>
    </w:p>
    <w:p w14:paraId="50EFFB8F">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sz w:val="30"/>
          <w:lang w:val="en-US" w:eastAsia="zh-CN"/>
        </w:rPr>
      </w:pPr>
      <w:r>
        <w:rPr>
          <w:rFonts w:hint="eastAsia" w:ascii="仿宋" w:hAnsi="仿宋" w:eastAsia="仿宋"/>
          <w:color w:val="auto"/>
          <w:sz w:val="30"/>
          <w:lang w:val="en-US" w:eastAsia="zh-CN"/>
        </w:rPr>
        <w:t>部门绩效自评情况详见附表。</w:t>
      </w:r>
    </w:p>
    <w:p w14:paraId="2326085C">
      <w:pPr>
        <w:widowControl/>
        <w:spacing w:beforeLines="0" w:afterLines="0" w:line="590" w:lineRule="exact"/>
        <w:ind w:firstLine="600"/>
        <w:jc w:val="left"/>
        <w:rPr>
          <w:rFonts w:hint="eastAsia" w:ascii="黑体" w:hAnsi="黑体" w:eastAsia="黑体" w:cs="Times New Roman"/>
          <w:color w:val="auto"/>
          <w:sz w:val="30"/>
          <w:szCs w:val="20"/>
          <w:lang w:val="en-US" w:eastAsia="zh-CN"/>
        </w:rPr>
      </w:pPr>
      <w:r>
        <w:rPr>
          <w:rFonts w:hint="eastAsia" w:ascii="黑体" w:hAnsi="黑体" w:eastAsia="黑体" w:cs="Times New Roman"/>
          <w:color w:val="auto"/>
          <w:sz w:val="30"/>
          <w:szCs w:val="20"/>
          <w:lang w:val="en-US" w:eastAsia="zh-CN"/>
        </w:rPr>
        <w:t>五、其他重要事项情况说明</w:t>
      </w:r>
    </w:p>
    <w:p w14:paraId="3E086AB2">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sz w:val="30"/>
          <w:lang w:val="en-US" w:eastAsia="zh-CN"/>
        </w:rPr>
      </w:pPr>
      <w:bookmarkStart w:id="5" w:name="OLE_LINK5"/>
      <w:bookmarkStart w:id="6" w:name="OLE_LINK6"/>
      <w:r>
        <w:rPr>
          <w:rFonts w:hint="eastAsia" w:ascii="仿宋" w:hAnsi="仿宋" w:eastAsia="仿宋"/>
          <w:color w:val="auto"/>
          <w:sz w:val="30"/>
          <w:lang w:val="en-US" w:eastAsia="zh-CN"/>
        </w:rPr>
        <w:t>我单位无其他重要事项情况说明。</w:t>
      </w:r>
      <w:bookmarkEnd w:id="5"/>
    </w:p>
    <w:p w14:paraId="0E71617A">
      <w:pPr>
        <w:widowControl/>
        <w:spacing w:beforeLines="0" w:afterLines="0" w:line="590" w:lineRule="exact"/>
        <w:ind w:firstLine="600"/>
        <w:jc w:val="left"/>
        <w:rPr>
          <w:rFonts w:hint="default" w:ascii="黑体" w:hAnsi="黑体" w:eastAsia="黑体" w:cs="Times New Roman"/>
          <w:color w:val="auto"/>
          <w:sz w:val="30"/>
          <w:szCs w:val="20"/>
          <w:lang w:val="en-US" w:eastAsia="zh-CN"/>
        </w:rPr>
      </w:pPr>
      <w:r>
        <w:rPr>
          <w:rFonts w:hint="default" w:ascii="黑体" w:hAnsi="黑体" w:eastAsia="黑体" w:cs="Times New Roman"/>
          <w:color w:val="auto"/>
          <w:sz w:val="30"/>
          <w:szCs w:val="20"/>
          <w:lang w:val="en-US" w:eastAsia="zh-CN"/>
        </w:rPr>
        <w:t>六、相关口径说明</w:t>
      </w:r>
    </w:p>
    <w:bookmarkEnd w:id="6"/>
    <w:p w14:paraId="51F4F79B">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仿宋" w:hAnsi="仿宋" w:eastAsia="仿宋"/>
          <w:color w:val="auto"/>
          <w:sz w:val="30"/>
          <w:lang w:val="en-US" w:eastAsia="zh-CN"/>
        </w:rPr>
      </w:pPr>
      <w:r>
        <w:rPr>
          <w:rFonts w:hint="default" w:ascii="仿宋" w:hAnsi="仿宋" w:eastAsia="仿宋"/>
          <w:color w:val="auto"/>
          <w:sz w:val="30"/>
          <w:lang w:val="en-US" w:eastAsia="zh-CN"/>
        </w:rPr>
        <w:t>（一）基本支出中人员经费包括工资福利支出和对个人和家庭的补助，公用经费包括商品和服务支出、资本性支出等人员经费以外的支出。</w:t>
      </w:r>
    </w:p>
    <w:p w14:paraId="596A1634">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sz w:val="30"/>
          <w:lang w:val="en-US" w:eastAsia="zh-CN"/>
        </w:rPr>
      </w:pPr>
      <w:r>
        <w:rPr>
          <w:rFonts w:hint="default" w:ascii="仿宋" w:hAnsi="仿宋" w:eastAsia="仿宋"/>
          <w:color w:val="auto"/>
          <w:sz w:val="30"/>
          <w:lang w:val="en-US" w:eastAsia="zh-CN"/>
        </w:rPr>
        <w:t>（二）机关运行经费指行政单位和参照公务员法管理的事业单位使用一般公共预算财政拨款安排的基本支出中的公用经费支出</w:t>
      </w:r>
      <w:r>
        <w:rPr>
          <w:rFonts w:hint="eastAsia" w:ascii="仿宋" w:hAnsi="仿宋" w:eastAsia="仿宋"/>
          <w:color w:val="auto"/>
          <w:sz w:val="30"/>
          <w:lang w:val="en-US" w:eastAsia="zh-CN"/>
        </w:rPr>
        <w:t>。</w:t>
      </w:r>
    </w:p>
    <w:p w14:paraId="4B34816F">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仿宋" w:hAnsi="仿宋" w:eastAsia="仿宋"/>
          <w:color w:val="auto"/>
          <w:sz w:val="30"/>
          <w:lang w:val="en-US" w:eastAsia="zh-CN"/>
        </w:rPr>
      </w:pPr>
      <w:r>
        <w:rPr>
          <w:rFonts w:hint="default" w:ascii="仿宋" w:hAnsi="仿宋" w:eastAsia="仿宋"/>
          <w:color w:val="auto"/>
          <w:sz w:val="30"/>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61448067">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仿宋" w:hAnsi="仿宋" w:eastAsia="仿宋"/>
          <w:color w:val="auto"/>
          <w:sz w:val="30"/>
          <w:lang w:val="en-US" w:eastAsia="zh-CN"/>
        </w:rPr>
      </w:pPr>
      <w:r>
        <w:rPr>
          <w:rFonts w:hint="default" w:ascii="仿宋" w:hAnsi="仿宋" w:eastAsia="仿宋"/>
          <w:color w:val="auto"/>
          <w:sz w:val="30"/>
          <w:lang w:val="en-US" w:eastAsia="zh-CN"/>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017C6078">
      <w:pPr>
        <w:widowControl/>
        <w:spacing w:beforeLines="0" w:afterLines="0" w:line="590" w:lineRule="exact"/>
        <w:jc w:val="center"/>
        <w:rPr>
          <w:rFonts w:hint="default" w:ascii="黑体" w:hAnsi="黑体" w:eastAsia="黑体" w:cs="Times New Roman"/>
          <w:color w:val="auto"/>
          <w:sz w:val="32"/>
          <w:szCs w:val="20"/>
          <w:lang w:val="en-US" w:eastAsia="zh-CN"/>
        </w:rPr>
      </w:pPr>
      <w:r>
        <w:rPr>
          <w:rFonts w:hint="default" w:ascii="黑体" w:hAnsi="黑体" w:eastAsia="黑体" w:cs="Times New Roman"/>
          <w:color w:val="auto"/>
          <w:sz w:val="32"/>
          <w:szCs w:val="20"/>
          <w:lang w:val="en-US" w:eastAsia="zh-CN"/>
        </w:rPr>
        <w:t>第五部分  名词解释</w:t>
      </w:r>
    </w:p>
    <w:p w14:paraId="20548721">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仿宋" w:hAnsi="仿宋" w:eastAsia="仿宋"/>
          <w:color w:val="auto"/>
          <w:sz w:val="30"/>
          <w:lang w:val="en-US" w:eastAsia="zh-CN"/>
        </w:rPr>
      </w:pPr>
      <w:r>
        <w:rPr>
          <w:rFonts w:hint="default" w:ascii="仿宋" w:hAnsi="仿宋" w:eastAsia="仿宋"/>
          <w:color w:val="auto"/>
          <w:sz w:val="30"/>
          <w:lang w:val="en-US"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3DB75384">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仿宋" w:hAnsi="仿宋" w:eastAsia="仿宋"/>
          <w:color w:val="auto"/>
          <w:sz w:val="30"/>
          <w:lang w:val="en-US" w:eastAsia="zh-CN"/>
        </w:rPr>
      </w:pPr>
      <w:r>
        <w:rPr>
          <w:rFonts w:hint="default" w:ascii="仿宋" w:hAnsi="仿宋" w:eastAsia="仿宋"/>
          <w:color w:val="auto"/>
          <w:sz w:val="30"/>
          <w:lang w:val="en-US" w:eastAsia="zh-CN"/>
        </w:rPr>
        <w:t>政府采购：是指各级国家机关、事业单位和团体组织，使用财政性资金采购依法制定的集中采购目录以内的或者采购限额标准以上的货物、工程和服务的行为。</w:t>
      </w:r>
    </w:p>
    <w:p w14:paraId="71010B1D">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仿宋" w:hAnsi="仿宋" w:eastAsia="仿宋"/>
          <w:color w:val="auto"/>
          <w:sz w:val="30"/>
          <w:lang w:val="en-US" w:eastAsia="zh-CN"/>
        </w:rPr>
      </w:pPr>
      <w:r>
        <w:rPr>
          <w:rFonts w:hint="default" w:ascii="仿宋" w:hAnsi="仿宋" w:eastAsia="仿宋"/>
          <w:color w:val="auto"/>
          <w:sz w:val="30"/>
          <w:lang w:val="en-US" w:eastAsia="zh-CN"/>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137766F6">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仿宋" w:hAnsi="仿宋" w:eastAsia="仿宋"/>
          <w:color w:val="auto"/>
          <w:sz w:val="30"/>
          <w:lang w:val="en-US" w:eastAsia="zh-CN"/>
        </w:rPr>
      </w:pPr>
      <w:r>
        <w:rPr>
          <w:rFonts w:hint="default" w:ascii="仿宋" w:hAnsi="仿宋" w:eastAsia="仿宋"/>
          <w:color w:val="auto"/>
          <w:sz w:val="30"/>
          <w:lang w:val="en-US" w:eastAsia="zh-CN"/>
        </w:rPr>
        <w:t>一般公共预算支出：一般公共预算支出是指通过一般公共预算收入统筹安排的支出。其功能分类范围主要包括：一般公共服务、公共安全、教育、科学技术、文化体育与传媒、社会保障和就业、</w:t>
      </w:r>
    </w:p>
    <w:p w14:paraId="37961568">
      <w:pPr>
        <w:keepNext w:val="0"/>
        <w:keepLines w:val="0"/>
        <w:pageBreakBefore w:val="0"/>
        <w:widowControl w:val="0"/>
        <w:kinsoku/>
        <w:wordWrap/>
        <w:overflowPunct/>
        <w:topLinePunct w:val="0"/>
        <w:autoSpaceDE/>
        <w:autoSpaceDN/>
        <w:bidi w:val="0"/>
        <w:adjustRightInd/>
        <w:snapToGrid/>
        <w:spacing w:beforeLines="0" w:afterLines="0" w:line="590" w:lineRule="exact"/>
        <w:jc w:val="both"/>
        <w:textAlignment w:val="auto"/>
        <w:rPr>
          <w:rFonts w:hint="default" w:ascii="仿宋" w:hAnsi="仿宋" w:eastAsia="仿宋"/>
          <w:color w:val="auto"/>
          <w:sz w:val="30"/>
          <w:lang w:val="en-US" w:eastAsia="zh-CN"/>
        </w:rPr>
      </w:pPr>
      <w:r>
        <w:rPr>
          <w:rFonts w:hint="default" w:ascii="仿宋" w:hAnsi="仿宋" w:eastAsia="仿宋"/>
          <w:color w:val="auto"/>
          <w:sz w:val="30"/>
          <w:lang w:val="en-US" w:eastAsia="zh-CN"/>
        </w:rPr>
        <w:t>医疗卫生、节能环保、城乡社区事务、农林水事务、交通运输、商业服务业等事务、国土资源气象等事物、住房保障支出等。</w:t>
      </w:r>
    </w:p>
    <w:p w14:paraId="3AFADE2E">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仿宋" w:hAnsi="仿宋" w:eastAsia="仿宋"/>
          <w:color w:val="auto"/>
          <w:sz w:val="30"/>
          <w:lang w:val="en-US" w:eastAsia="zh-CN"/>
        </w:rPr>
      </w:pPr>
      <w:r>
        <w:rPr>
          <w:rFonts w:hint="default" w:ascii="仿宋" w:hAnsi="仿宋" w:eastAsia="仿宋"/>
          <w:color w:val="auto"/>
          <w:sz w:val="30"/>
          <w:lang w:val="en-US" w:eastAsia="zh-CN"/>
        </w:rPr>
        <w:t>“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74F3A08B">
      <w:pPr>
        <w:rPr>
          <w:rFonts w:ascii="Arial" w:hAnsi="Arial" w:eastAsia="Arial" w:cs="Arial"/>
          <w:b/>
          <w:sz w:val="36"/>
        </w:rPr>
      </w:pPr>
      <w:r>
        <w:rPr>
          <w:rFonts w:ascii="Arial" w:hAnsi="Arial" w:eastAsia="Arial" w:cs="Arial"/>
          <w:b/>
          <w:sz w:val="36"/>
        </w:rPr>
        <w:t>监督索引号53042800446801111</w:t>
      </w:r>
    </w:p>
    <w:sectPr>
      <w:pgSz w:w="12240" w:h="15839"/>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lNjUwMjk2YjYzNWZjMzkxNjRiNTA0YTI0NTY1YTQifQ=="/>
  </w:docVars>
  <w:rsids>
    <w:rsidRoot w:val="29345466"/>
    <w:rsid w:val="01A87AFF"/>
    <w:rsid w:val="024A51DC"/>
    <w:rsid w:val="03194052"/>
    <w:rsid w:val="034C3D5A"/>
    <w:rsid w:val="046643CE"/>
    <w:rsid w:val="04E13A54"/>
    <w:rsid w:val="067D3A89"/>
    <w:rsid w:val="06CF61FF"/>
    <w:rsid w:val="07351559"/>
    <w:rsid w:val="073C033A"/>
    <w:rsid w:val="07727F9D"/>
    <w:rsid w:val="07BB15CF"/>
    <w:rsid w:val="07E327C2"/>
    <w:rsid w:val="095B5927"/>
    <w:rsid w:val="09E20AF9"/>
    <w:rsid w:val="0B643BD8"/>
    <w:rsid w:val="0BB35A1E"/>
    <w:rsid w:val="0CC26C20"/>
    <w:rsid w:val="0CD520F0"/>
    <w:rsid w:val="0E9A2306"/>
    <w:rsid w:val="0FAD322A"/>
    <w:rsid w:val="102F7D69"/>
    <w:rsid w:val="109569B7"/>
    <w:rsid w:val="10ED53C5"/>
    <w:rsid w:val="13456138"/>
    <w:rsid w:val="13DF22EE"/>
    <w:rsid w:val="13E449B0"/>
    <w:rsid w:val="140C03C2"/>
    <w:rsid w:val="14EA425F"/>
    <w:rsid w:val="151067F8"/>
    <w:rsid w:val="17A74645"/>
    <w:rsid w:val="19D11E91"/>
    <w:rsid w:val="19FC6E29"/>
    <w:rsid w:val="1D4D7A81"/>
    <w:rsid w:val="1D672D1A"/>
    <w:rsid w:val="1E043561"/>
    <w:rsid w:val="1F1848FC"/>
    <w:rsid w:val="203647FC"/>
    <w:rsid w:val="2158109D"/>
    <w:rsid w:val="22CD73BB"/>
    <w:rsid w:val="236D0E0D"/>
    <w:rsid w:val="23E4182C"/>
    <w:rsid w:val="245426CA"/>
    <w:rsid w:val="24CB7360"/>
    <w:rsid w:val="26DB7EAB"/>
    <w:rsid w:val="27916080"/>
    <w:rsid w:val="28120AE5"/>
    <w:rsid w:val="29345466"/>
    <w:rsid w:val="2CDA29B3"/>
    <w:rsid w:val="2CED6B8B"/>
    <w:rsid w:val="2CEF215B"/>
    <w:rsid w:val="2D002B75"/>
    <w:rsid w:val="2E1B46D1"/>
    <w:rsid w:val="2E3A2E51"/>
    <w:rsid w:val="2EA966BA"/>
    <w:rsid w:val="2F6D5EB4"/>
    <w:rsid w:val="30176C8D"/>
    <w:rsid w:val="30D67345"/>
    <w:rsid w:val="32812D01"/>
    <w:rsid w:val="32B25393"/>
    <w:rsid w:val="37F110B5"/>
    <w:rsid w:val="38B059AF"/>
    <w:rsid w:val="3A8874F8"/>
    <w:rsid w:val="3B596677"/>
    <w:rsid w:val="3B9B172A"/>
    <w:rsid w:val="3CD61426"/>
    <w:rsid w:val="3DAF0DB3"/>
    <w:rsid w:val="3DCE59B3"/>
    <w:rsid w:val="41B45F41"/>
    <w:rsid w:val="41B54513"/>
    <w:rsid w:val="42EB7271"/>
    <w:rsid w:val="43C875B2"/>
    <w:rsid w:val="446058AE"/>
    <w:rsid w:val="44DE708D"/>
    <w:rsid w:val="45230F44"/>
    <w:rsid w:val="463A4797"/>
    <w:rsid w:val="4816008A"/>
    <w:rsid w:val="48416D65"/>
    <w:rsid w:val="4BA916AB"/>
    <w:rsid w:val="4BCE772F"/>
    <w:rsid w:val="4CCD3D20"/>
    <w:rsid w:val="4D993209"/>
    <w:rsid w:val="4DC11B44"/>
    <w:rsid w:val="4DEE7634"/>
    <w:rsid w:val="4E2B70BB"/>
    <w:rsid w:val="4E4A131D"/>
    <w:rsid w:val="4F696751"/>
    <w:rsid w:val="50DA7442"/>
    <w:rsid w:val="51266A33"/>
    <w:rsid w:val="519C488F"/>
    <w:rsid w:val="52175619"/>
    <w:rsid w:val="522432EB"/>
    <w:rsid w:val="52BE40AB"/>
    <w:rsid w:val="54594C92"/>
    <w:rsid w:val="5499780A"/>
    <w:rsid w:val="55222156"/>
    <w:rsid w:val="55E57647"/>
    <w:rsid w:val="563F54B2"/>
    <w:rsid w:val="57FA1ED8"/>
    <w:rsid w:val="58215E79"/>
    <w:rsid w:val="58810003"/>
    <w:rsid w:val="594B23BF"/>
    <w:rsid w:val="59E0732E"/>
    <w:rsid w:val="5A1C12FF"/>
    <w:rsid w:val="5A533610"/>
    <w:rsid w:val="5AD34A27"/>
    <w:rsid w:val="5B06360A"/>
    <w:rsid w:val="5B350055"/>
    <w:rsid w:val="5C0A6AF3"/>
    <w:rsid w:val="5C55332E"/>
    <w:rsid w:val="5C5B15F2"/>
    <w:rsid w:val="5CCA18F3"/>
    <w:rsid w:val="5CFC51BB"/>
    <w:rsid w:val="5D87033A"/>
    <w:rsid w:val="5E9D7B9B"/>
    <w:rsid w:val="60AB42FB"/>
    <w:rsid w:val="60DC2F82"/>
    <w:rsid w:val="6119124E"/>
    <w:rsid w:val="617A4C05"/>
    <w:rsid w:val="625958B0"/>
    <w:rsid w:val="63462575"/>
    <w:rsid w:val="64B3732A"/>
    <w:rsid w:val="667033A0"/>
    <w:rsid w:val="671A256A"/>
    <w:rsid w:val="673E6A98"/>
    <w:rsid w:val="67536778"/>
    <w:rsid w:val="68B91F19"/>
    <w:rsid w:val="6902700E"/>
    <w:rsid w:val="6A276531"/>
    <w:rsid w:val="6A4B21D9"/>
    <w:rsid w:val="6BA256A2"/>
    <w:rsid w:val="6C7C2B64"/>
    <w:rsid w:val="6D02008C"/>
    <w:rsid w:val="6E103CBF"/>
    <w:rsid w:val="6F370FC4"/>
    <w:rsid w:val="6F9E1EE0"/>
    <w:rsid w:val="6FB57C6B"/>
    <w:rsid w:val="72203F91"/>
    <w:rsid w:val="731A0373"/>
    <w:rsid w:val="73244A81"/>
    <w:rsid w:val="753176C3"/>
    <w:rsid w:val="75E83CBD"/>
    <w:rsid w:val="77CC21BA"/>
    <w:rsid w:val="794F202B"/>
    <w:rsid w:val="79B44E94"/>
    <w:rsid w:val="79BE476A"/>
    <w:rsid w:val="7AAD0D54"/>
    <w:rsid w:val="7BFA3E64"/>
    <w:rsid w:val="7CA27265"/>
    <w:rsid w:val="7CAA7D73"/>
    <w:rsid w:val="7D210F21"/>
    <w:rsid w:val="7D917A20"/>
    <w:rsid w:val="7E0829F9"/>
    <w:rsid w:val="7E0D71B6"/>
    <w:rsid w:val="7F603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spacing w:after="120"/>
      <w:jc w:val="both"/>
    </w:pPr>
    <w:rPr>
      <w:rFonts w:ascii="Times New Roman" w:hAnsi="Times New Roman" w:eastAsia="宋体" w:cs="Times New Roman"/>
      <w:kern w:val="2"/>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25</Pages>
  <Words>11570</Words>
  <Characters>13276</Characters>
  <Lines>0</Lines>
  <Paragraphs>0</Paragraphs>
  <TotalTime>49</TotalTime>
  <ScaleCrop>false</ScaleCrop>
  <LinksUpToDate>false</LinksUpToDate>
  <CharactersWithSpaces>13300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2024-10-16T01:53:00Z</dcterms:created>
  <dc:creator>夏晓灿</dc:creator>
  <cp:lastModifiedBy>杨秋兰</cp:lastModifiedBy>
  <dcterms:modified xsi:type="dcterms:W3CDTF">2024-11-06T01:10:39Z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D190D0E9E8E640B8BEB09EA9AC492FA8_11</vt:lpwstr>
  </property>
  <property fmtid="{D5CDD505-2E9C-101B-9397-08002B2CF9AE}" pid="3" name="KSOProductBuildVer">
    <vt:lpwstr>2052-12.1.0.17827</vt:lpwstr>
  </property>
</Properties>
</file>